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507725" w:rsidRPr="007D7E0B" w:rsidTr="00485F8D">
        <w:tc>
          <w:tcPr>
            <w:tcW w:w="8525" w:type="dxa"/>
            <w:gridSpan w:val="2"/>
            <w:tcBorders>
              <w:bottom w:val="single" w:sz="18" w:space="0" w:color="auto"/>
            </w:tcBorders>
          </w:tcPr>
          <w:p w:rsidR="00507725" w:rsidRDefault="00507725" w:rsidP="00B75672">
            <w:pPr>
              <w:pStyle w:val="Infotext"/>
              <w:rPr>
                <w:rFonts w:ascii="Arial Black" w:hAnsi="Arial Black"/>
                <w:color w:val="999999"/>
                <w:sz w:val="36"/>
                <w:szCs w:val="36"/>
              </w:rPr>
            </w:pPr>
          </w:p>
          <w:p w:rsidR="00507725" w:rsidRDefault="00451479" w:rsidP="00B7567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3C5A23C6" wp14:editId="3C5A23C7">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07725" w:rsidRDefault="00507725" w:rsidP="00B75672">
            <w:pPr>
              <w:pStyle w:val="Infotext"/>
              <w:rPr>
                <w:rFonts w:ascii="Arial Black" w:hAnsi="Arial Black" w:cs="Arial"/>
                <w:sz w:val="36"/>
                <w:szCs w:val="36"/>
              </w:rPr>
            </w:pPr>
          </w:p>
        </w:tc>
      </w:tr>
      <w:tr w:rsidR="005441BD" w:rsidTr="00485F8D">
        <w:tc>
          <w:tcPr>
            <w:tcW w:w="3474" w:type="dxa"/>
            <w:tcBorders>
              <w:bottom w:val="single" w:sz="18" w:space="0" w:color="auto"/>
            </w:tcBorders>
          </w:tcPr>
          <w:p w:rsidR="005441BD" w:rsidRPr="004D7310" w:rsidRDefault="004D7310">
            <w:pPr>
              <w:pStyle w:val="Infotext"/>
              <w:rPr>
                <w:rFonts w:ascii="Arial Black" w:hAnsi="Arial Black"/>
                <w:color w:val="999999"/>
                <w:sz w:val="36"/>
                <w:szCs w:val="36"/>
              </w:rPr>
            </w:pPr>
            <w:r w:rsidRPr="004D7310">
              <w:rPr>
                <w:rFonts w:ascii="Arial Black" w:hAnsi="Arial Black"/>
                <w:color w:val="999999"/>
                <w:sz w:val="36"/>
                <w:szCs w:val="36"/>
              </w:rPr>
              <w:t>REPORT FOR:</w:t>
            </w:r>
          </w:p>
          <w:p w:rsidR="005441BD" w:rsidRPr="004D7310" w:rsidRDefault="005441BD">
            <w:pPr>
              <w:pStyle w:val="Infotext"/>
              <w:rPr>
                <w:rFonts w:ascii="Arial Black" w:hAnsi="Arial Black" w:cs="Arial"/>
                <w:sz w:val="36"/>
                <w:szCs w:val="36"/>
              </w:rPr>
            </w:pPr>
          </w:p>
        </w:tc>
        <w:tc>
          <w:tcPr>
            <w:tcW w:w="5051" w:type="dxa"/>
            <w:tcBorders>
              <w:bottom w:val="single" w:sz="18" w:space="0" w:color="auto"/>
            </w:tcBorders>
          </w:tcPr>
          <w:p w:rsidR="005441BD" w:rsidRDefault="00F47265">
            <w:pPr>
              <w:pStyle w:val="Infotext"/>
              <w:rPr>
                <w:rFonts w:ascii="Arial Black" w:hAnsi="Arial Black" w:cs="Arial"/>
                <w:sz w:val="36"/>
                <w:szCs w:val="36"/>
              </w:rPr>
            </w:pPr>
            <w:r>
              <w:rPr>
                <w:rFonts w:ascii="Arial Black" w:hAnsi="Arial Black" w:cs="Arial"/>
                <w:sz w:val="36"/>
                <w:szCs w:val="36"/>
              </w:rPr>
              <w:t>HEALTH AND SOCIAL CARE</w:t>
            </w:r>
            <w:r w:rsidR="00CC1569">
              <w:rPr>
                <w:rFonts w:ascii="Arial Black" w:hAnsi="Arial Black" w:cs="Arial"/>
                <w:sz w:val="36"/>
                <w:szCs w:val="36"/>
              </w:rPr>
              <w:t xml:space="preserve"> SCRUTINY SUB-COMMITTEE</w:t>
            </w:r>
          </w:p>
          <w:p w:rsidR="004D7310" w:rsidRPr="004D7310" w:rsidRDefault="004D7310">
            <w:pPr>
              <w:pStyle w:val="Infotext"/>
              <w:rPr>
                <w:rFonts w:ascii="Arial Black" w:hAnsi="Arial Black" w:cs="Arial"/>
                <w:sz w:val="36"/>
                <w:szCs w:val="36"/>
              </w:rPr>
            </w:pPr>
          </w:p>
        </w:tc>
      </w:tr>
      <w:tr w:rsidR="005441BD" w:rsidTr="00485F8D">
        <w:tc>
          <w:tcPr>
            <w:tcW w:w="3474" w:type="dxa"/>
            <w:tcBorders>
              <w:top w:val="single" w:sz="18" w:space="0" w:color="auto"/>
            </w:tcBorders>
          </w:tcPr>
          <w:p w:rsidR="005441BD" w:rsidRPr="004D7310" w:rsidRDefault="005441BD">
            <w:pPr>
              <w:pStyle w:val="Infotext"/>
              <w:rPr>
                <w:rFonts w:ascii="Arial Black" w:hAnsi="Arial Black"/>
              </w:rPr>
            </w:pPr>
            <w:r w:rsidRPr="004D7310">
              <w:rPr>
                <w:rFonts w:ascii="Arial Black" w:hAnsi="Arial Black"/>
              </w:rPr>
              <w:t>Date</w:t>
            </w:r>
            <w:r w:rsidR="00277B96">
              <w:rPr>
                <w:rFonts w:ascii="Arial Black" w:hAnsi="Arial Black"/>
              </w:rPr>
              <w:t xml:space="preserve"> of Meeting</w:t>
            </w:r>
            <w:r w:rsidRPr="004D7310">
              <w:rPr>
                <w:rFonts w:ascii="Arial Black" w:hAnsi="Arial Black"/>
              </w:rPr>
              <w:t>:</w:t>
            </w:r>
          </w:p>
          <w:p w:rsidR="005441BD" w:rsidRPr="004D7310" w:rsidRDefault="005441BD">
            <w:pPr>
              <w:pStyle w:val="Infotext"/>
              <w:rPr>
                <w:rFonts w:ascii="Arial Black" w:hAnsi="Arial Black" w:cs="Arial"/>
              </w:rPr>
            </w:pPr>
          </w:p>
        </w:tc>
        <w:tc>
          <w:tcPr>
            <w:tcW w:w="5051" w:type="dxa"/>
            <w:tcBorders>
              <w:top w:val="single" w:sz="18" w:space="0" w:color="auto"/>
            </w:tcBorders>
          </w:tcPr>
          <w:p w:rsidR="005441BD" w:rsidRDefault="00321F76" w:rsidP="00F47265">
            <w:pPr>
              <w:pStyle w:val="Infotext"/>
              <w:tabs>
                <w:tab w:val="left" w:pos="1086"/>
              </w:tabs>
              <w:rPr>
                <w:rFonts w:cs="Arial"/>
              </w:rPr>
            </w:pPr>
            <w:r>
              <w:rPr>
                <w:rFonts w:cs="Arial"/>
              </w:rPr>
              <w:t>12</w:t>
            </w:r>
            <w:r w:rsidR="00F47265">
              <w:rPr>
                <w:rFonts w:cs="Arial"/>
              </w:rPr>
              <w:t xml:space="preserve"> </w:t>
            </w:r>
            <w:r>
              <w:rPr>
                <w:rFonts w:cs="Arial"/>
              </w:rPr>
              <w:t>June 2019</w:t>
            </w:r>
          </w:p>
        </w:tc>
      </w:tr>
      <w:tr w:rsidR="005441BD" w:rsidTr="00485F8D">
        <w:tc>
          <w:tcPr>
            <w:tcW w:w="3474" w:type="dxa"/>
          </w:tcPr>
          <w:p w:rsidR="005441BD" w:rsidRPr="004D7310" w:rsidRDefault="005441BD">
            <w:pPr>
              <w:pStyle w:val="Infotext"/>
              <w:rPr>
                <w:rFonts w:ascii="Arial Black" w:hAnsi="Arial Black" w:cs="Arial"/>
              </w:rPr>
            </w:pPr>
            <w:r w:rsidRPr="004D7310">
              <w:rPr>
                <w:rFonts w:ascii="Arial Black" w:hAnsi="Arial Black" w:cs="Arial"/>
              </w:rPr>
              <w:t>Subject:</w:t>
            </w:r>
          </w:p>
          <w:p w:rsidR="005441BD" w:rsidRPr="004D7310" w:rsidRDefault="005441BD">
            <w:pPr>
              <w:pStyle w:val="Infotext"/>
              <w:rPr>
                <w:rFonts w:ascii="Arial Black" w:hAnsi="Arial Black"/>
              </w:rPr>
            </w:pPr>
          </w:p>
        </w:tc>
        <w:tc>
          <w:tcPr>
            <w:tcW w:w="5051" w:type="dxa"/>
          </w:tcPr>
          <w:p w:rsidR="005441BD" w:rsidRDefault="00593093">
            <w:pPr>
              <w:pStyle w:val="Infotext"/>
              <w:rPr>
                <w:rFonts w:cs="Arial"/>
              </w:rPr>
            </w:pPr>
            <w:r>
              <w:rPr>
                <w:rFonts w:cs="Arial"/>
              </w:rPr>
              <w:t xml:space="preserve">Information report: </w:t>
            </w:r>
            <w:r w:rsidR="00321F76">
              <w:rPr>
                <w:rFonts w:cs="Arial"/>
              </w:rPr>
              <w:t>Public Health Forward Plan</w:t>
            </w:r>
          </w:p>
        </w:tc>
      </w:tr>
      <w:tr w:rsidR="005441BD" w:rsidTr="00485F8D">
        <w:tc>
          <w:tcPr>
            <w:tcW w:w="3474" w:type="dxa"/>
          </w:tcPr>
          <w:p w:rsidR="005441BD" w:rsidRPr="004D7310" w:rsidRDefault="005441BD">
            <w:pPr>
              <w:pStyle w:val="Infotext"/>
              <w:rPr>
                <w:rFonts w:ascii="Arial Black" w:hAnsi="Arial Black" w:cs="Arial"/>
              </w:rPr>
            </w:pPr>
            <w:r w:rsidRPr="004D7310">
              <w:rPr>
                <w:rFonts w:ascii="Arial Black" w:hAnsi="Arial Black" w:cs="Arial"/>
              </w:rPr>
              <w:t>Responsible Officer:</w:t>
            </w:r>
          </w:p>
          <w:p w:rsidR="005441BD" w:rsidRPr="004D7310" w:rsidRDefault="005441BD">
            <w:pPr>
              <w:pStyle w:val="Infotext"/>
              <w:rPr>
                <w:rFonts w:ascii="Arial Black" w:hAnsi="Arial Black" w:cs="Arial"/>
              </w:rPr>
            </w:pPr>
          </w:p>
        </w:tc>
        <w:tc>
          <w:tcPr>
            <w:tcW w:w="5051" w:type="dxa"/>
          </w:tcPr>
          <w:p w:rsidR="005441BD" w:rsidRDefault="00321F76">
            <w:pPr>
              <w:pStyle w:val="Infotext"/>
              <w:rPr>
                <w:rFonts w:cs="Arial"/>
              </w:rPr>
            </w:pPr>
            <w:r>
              <w:rPr>
                <w:rFonts w:cs="Arial"/>
              </w:rPr>
              <w:t>Carole Furlong</w:t>
            </w:r>
          </w:p>
          <w:p w:rsidR="00321F76" w:rsidRDefault="00321F76">
            <w:pPr>
              <w:pStyle w:val="Infotext"/>
              <w:rPr>
                <w:rFonts w:cs="Arial"/>
              </w:rPr>
            </w:pPr>
            <w:r>
              <w:rPr>
                <w:rFonts w:cs="Arial"/>
              </w:rPr>
              <w:t xml:space="preserve">Director of Public Health </w:t>
            </w:r>
          </w:p>
          <w:p w:rsidR="00036698" w:rsidRDefault="00036698">
            <w:pPr>
              <w:pStyle w:val="Infotext"/>
              <w:rPr>
                <w:rFonts w:cs="Arial"/>
              </w:rPr>
            </w:pPr>
          </w:p>
        </w:tc>
      </w:tr>
      <w:tr w:rsidR="005441BD" w:rsidTr="00485F8D">
        <w:tc>
          <w:tcPr>
            <w:tcW w:w="3474" w:type="dxa"/>
          </w:tcPr>
          <w:p w:rsidR="005441BD" w:rsidRPr="004D7310" w:rsidRDefault="00FE2F05">
            <w:pPr>
              <w:pStyle w:val="Infotext"/>
              <w:rPr>
                <w:rFonts w:ascii="Arial Black" w:hAnsi="Arial Black" w:cs="Arial"/>
              </w:rPr>
            </w:pPr>
            <w:r w:rsidRPr="004D7310">
              <w:rPr>
                <w:rFonts w:ascii="Arial Black" w:hAnsi="Arial Black" w:cs="Arial"/>
              </w:rPr>
              <w:t>Scrutiny Lead Member area</w:t>
            </w:r>
            <w:r w:rsidR="005441BD" w:rsidRPr="004D7310">
              <w:rPr>
                <w:rFonts w:ascii="Arial Black" w:hAnsi="Arial Black" w:cs="Arial"/>
              </w:rPr>
              <w:t>:</w:t>
            </w:r>
          </w:p>
          <w:p w:rsidR="005441BD" w:rsidRPr="004D7310" w:rsidRDefault="005441BD">
            <w:pPr>
              <w:pStyle w:val="Infotext"/>
              <w:rPr>
                <w:rFonts w:ascii="Arial Black" w:hAnsi="Arial Black" w:cs="Arial"/>
              </w:rPr>
            </w:pPr>
          </w:p>
        </w:tc>
        <w:tc>
          <w:tcPr>
            <w:tcW w:w="5051" w:type="dxa"/>
          </w:tcPr>
          <w:p w:rsidR="005441BD" w:rsidRDefault="00792370">
            <w:pPr>
              <w:pStyle w:val="Infotext"/>
              <w:rPr>
                <w:rFonts w:cs="Arial"/>
              </w:rPr>
            </w:pPr>
            <w:r>
              <w:rPr>
                <w:rFonts w:cs="Arial"/>
              </w:rPr>
              <w:t>Health</w:t>
            </w:r>
            <w:r>
              <w:rPr>
                <w:rFonts w:cs="Arial"/>
              </w:rPr>
              <w:t>: Councillors</w:t>
            </w:r>
            <w:r w:rsidR="005E2897">
              <w:rPr>
                <w:rFonts w:cs="Arial"/>
              </w:rPr>
              <w:t xml:space="preserve"> Michael </w:t>
            </w:r>
            <w:proofErr w:type="spellStart"/>
            <w:r w:rsidR="005E2897">
              <w:rPr>
                <w:rFonts w:cs="Arial"/>
              </w:rPr>
              <w:t>Borio</w:t>
            </w:r>
            <w:proofErr w:type="spellEnd"/>
          </w:p>
          <w:p w:rsidR="005E2897" w:rsidRDefault="00792370">
            <w:pPr>
              <w:pStyle w:val="Infotext"/>
              <w:rPr>
                <w:rFonts w:cs="Arial"/>
              </w:rPr>
            </w:pPr>
            <w:r>
              <w:rPr>
                <w:rFonts w:cs="Arial"/>
              </w:rPr>
              <w:t xml:space="preserve">and </w:t>
            </w:r>
            <w:proofErr w:type="spellStart"/>
            <w:r w:rsidR="005E2897">
              <w:rPr>
                <w:rFonts w:cs="Arial"/>
              </w:rPr>
              <w:t>Vina</w:t>
            </w:r>
            <w:proofErr w:type="spellEnd"/>
            <w:r w:rsidR="005E2897">
              <w:rPr>
                <w:rFonts w:cs="Arial"/>
              </w:rPr>
              <w:t xml:space="preserve"> </w:t>
            </w:r>
            <w:proofErr w:type="spellStart"/>
            <w:r w:rsidR="005E2897">
              <w:rPr>
                <w:rFonts w:cs="Arial"/>
              </w:rPr>
              <w:t>Mithani</w:t>
            </w:r>
            <w:proofErr w:type="spellEnd"/>
          </w:p>
          <w:p w:rsidR="00321F76" w:rsidRDefault="00321F76" w:rsidP="00792370">
            <w:pPr>
              <w:pStyle w:val="Infotext"/>
              <w:rPr>
                <w:rFonts w:cs="Arial"/>
              </w:rPr>
            </w:pPr>
          </w:p>
        </w:tc>
      </w:tr>
      <w:tr w:rsidR="005441BD" w:rsidTr="00485F8D">
        <w:tc>
          <w:tcPr>
            <w:tcW w:w="3474" w:type="dxa"/>
          </w:tcPr>
          <w:p w:rsidR="005441BD" w:rsidRPr="004D7310" w:rsidRDefault="005441BD">
            <w:pPr>
              <w:pStyle w:val="Infotext"/>
              <w:rPr>
                <w:rFonts w:ascii="Arial Black" w:hAnsi="Arial Black" w:cs="Arial"/>
              </w:rPr>
            </w:pPr>
            <w:r w:rsidRPr="004D7310">
              <w:rPr>
                <w:rFonts w:ascii="Arial Black" w:hAnsi="Arial Black" w:cs="Arial"/>
              </w:rPr>
              <w:t>Exempt:</w:t>
            </w:r>
          </w:p>
          <w:p w:rsidR="005441BD" w:rsidRPr="004D7310" w:rsidRDefault="005441BD">
            <w:pPr>
              <w:pStyle w:val="Infotext"/>
              <w:rPr>
                <w:rFonts w:ascii="Arial Black" w:hAnsi="Arial Black" w:cs="Arial"/>
              </w:rPr>
            </w:pPr>
          </w:p>
        </w:tc>
        <w:tc>
          <w:tcPr>
            <w:tcW w:w="5051" w:type="dxa"/>
          </w:tcPr>
          <w:p w:rsidR="005441BD" w:rsidRDefault="005441BD">
            <w:pPr>
              <w:pStyle w:val="Infotext"/>
              <w:rPr>
                <w:rFonts w:cs="Arial"/>
              </w:rPr>
            </w:pPr>
            <w:r>
              <w:rPr>
                <w:rFonts w:cs="Arial"/>
              </w:rPr>
              <w:t>No</w:t>
            </w:r>
          </w:p>
          <w:p w:rsidR="005441BD" w:rsidRDefault="005441BD">
            <w:pPr>
              <w:pStyle w:val="Infotext"/>
              <w:rPr>
                <w:rFonts w:cs="Arial"/>
              </w:rPr>
            </w:pPr>
          </w:p>
        </w:tc>
      </w:tr>
      <w:tr w:rsidR="006377D6" w:rsidTr="00485F8D">
        <w:tc>
          <w:tcPr>
            <w:tcW w:w="3474" w:type="dxa"/>
          </w:tcPr>
          <w:p w:rsidR="006377D6" w:rsidRDefault="006377D6">
            <w:pPr>
              <w:pStyle w:val="Infotext"/>
              <w:rPr>
                <w:rFonts w:ascii="Arial Black" w:hAnsi="Arial Black" w:cs="Arial"/>
              </w:rPr>
            </w:pPr>
            <w:r>
              <w:rPr>
                <w:rFonts w:ascii="Arial Black" w:hAnsi="Arial Black" w:cs="Arial"/>
              </w:rPr>
              <w:t>Wards affected:</w:t>
            </w:r>
          </w:p>
          <w:p w:rsidR="006377D6" w:rsidRPr="004D7310" w:rsidRDefault="006377D6">
            <w:pPr>
              <w:pStyle w:val="Infotext"/>
              <w:rPr>
                <w:rFonts w:ascii="Arial Black" w:hAnsi="Arial Black" w:cs="Arial"/>
              </w:rPr>
            </w:pPr>
          </w:p>
        </w:tc>
        <w:tc>
          <w:tcPr>
            <w:tcW w:w="5051" w:type="dxa"/>
          </w:tcPr>
          <w:p w:rsidR="003A2F0B" w:rsidRPr="00F47265" w:rsidRDefault="00321F76">
            <w:pPr>
              <w:pStyle w:val="Infotext"/>
            </w:pPr>
            <w:r w:rsidRPr="00F47265">
              <w:t>All</w:t>
            </w:r>
          </w:p>
        </w:tc>
      </w:tr>
      <w:tr w:rsidR="005441BD" w:rsidTr="00485F8D">
        <w:tc>
          <w:tcPr>
            <w:tcW w:w="3474" w:type="dxa"/>
          </w:tcPr>
          <w:p w:rsidR="005441BD" w:rsidRPr="004D7310" w:rsidRDefault="005441BD">
            <w:pPr>
              <w:pStyle w:val="Infotext"/>
              <w:rPr>
                <w:rFonts w:ascii="Arial Black" w:hAnsi="Arial Black" w:cs="Arial"/>
              </w:rPr>
            </w:pPr>
            <w:r w:rsidRPr="004D7310">
              <w:rPr>
                <w:rFonts w:ascii="Arial Black" w:hAnsi="Arial Black" w:cs="Arial"/>
              </w:rPr>
              <w:t>Enclosures:</w:t>
            </w:r>
          </w:p>
          <w:p w:rsidR="005441BD" w:rsidRPr="004D7310" w:rsidRDefault="005441BD">
            <w:pPr>
              <w:pStyle w:val="Infotext"/>
              <w:rPr>
                <w:rFonts w:ascii="Arial Black" w:hAnsi="Arial Black" w:cs="Arial"/>
              </w:rPr>
            </w:pPr>
          </w:p>
        </w:tc>
        <w:tc>
          <w:tcPr>
            <w:tcW w:w="5051" w:type="dxa"/>
          </w:tcPr>
          <w:p w:rsidR="005441BD" w:rsidRDefault="001606E9">
            <w:pPr>
              <w:pStyle w:val="Infotext"/>
            </w:pPr>
            <w:r>
              <w:t>None</w:t>
            </w:r>
          </w:p>
        </w:tc>
      </w:tr>
    </w:tbl>
    <w:p w:rsidR="005441BD" w:rsidRDefault="005441B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tc>
          <w:tcPr>
            <w:tcW w:w="8525" w:type="dxa"/>
            <w:tcBorders>
              <w:top w:val="nil"/>
              <w:left w:val="nil"/>
              <w:right w:val="nil"/>
            </w:tcBorders>
          </w:tcPr>
          <w:p w:rsidR="005200DF" w:rsidRDefault="005200DF" w:rsidP="00485F8D">
            <w:pPr>
              <w:pStyle w:val="Heading1"/>
            </w:pPr>
            <w:r>
              <w:t>Section 1 – Summary and Recommendations</w:t>
            </w:r>
          </w:p>
        </w:tc>
      </w:tr>
      <w:tr w:rsidR="005441BD">
        <w:tc>
          <w:tcPr>
            <w:tcW w:w="8525" w:type="dxa"/>
          </w:tcPr>
          <w:p w:rsidR="005441BD" w:rsidRDefault="005441BD"/>
          <w:p w:rsidR="005441BD" w:rsidRPr="00792370" w:rsidRDefault="00321F76">
            <w:pPr>
              <w:rPr>
                <w:sz w:val="24"/>
                <w:szCs w:val="24"/>
              </w:rPr>
            </w:pPr>
            <w:r w:rsidRPr="00792370">
              <w:rPr>
                <w:sz w:val="24"/>
                <w:szCs w:val="24"/>
              </w:rPr>
              <w:t xml:space="preserve">This report sets out the Public Health Department’s plans for 2019-20, including an overview of the budgets and the priority areas of work for the team. </w:t>
            </w:r>
          </w:p>
          <w:p w:rsidR="005441BD" w:rsidRPr="00792370" w:rsidRDefault="005441BD">
            <w:pPr>
              <w:pStyle w:val="Heading2"/>
              <w:rPr>
                <w:sz w:val="24"/>
                <w:szCs w:val="24"/>
              </w:rPr>
            </w:pPr>
          </w:p>
          <w:p w:rsidR="005441BD" w:rsidRPr="00792370" w:rsidRDefault="005441BD">
            <w:pPr>
              <w:pStyle w:val="Heading2"/>
              <w:rPr>
                <w:sz w:val="24"/>
                <w:szCs w:val="24"/>
              </w:rPr>
            </w:pPr>
            <w:r w:rsidRPr="00792370">
              <w:rPr>
                <w:sz w:val="24"/>
                <w:szCs w:val="24"/>
              </w:rPr>
              <w:t xml:space="preserve">Recommendation: </w:t>
            </w:r>
            <w:r w:rsidR="00F47265" w:rsidRPr="00792370">
              <w:rPr>
                <w:b w:val="0"/>
                <w:sz w:val="24"/>
                <w:szCs w:val="24"/>
              </w:rPr>
              <w:t xml:space="preserve">That the report be </w:t>
            </w:r>
            <w:r w:rsidR="00A302B7" w:rsidRPr="00792370">
              <w:rPr>
                <w:b w:val="0"/>
                <w:sz w:val="24"/>
                <w:szCs w:val="24"/>
              </w:rPr>
              <w:t>noted.</w:t>
            </w:r>
          </w:p>
          <w:p w:rsidR="005441BD" w:rsidRDefault="00F47265" w:rsidP="00F47265">
            <w:r w:rsidRPr="00792370">
              <w:rPr>
                <w:sz w:val="24"/>
                <w:szCs w:val="24"/>
              </w:rPr>
              <w:t>(</w:t>
            </w:r>
            <w:r w:rsidR="00321F76" w:rsidRPr="00792370">
              <w:rPr>
                <w:sz w:val="24"/>
                <w:szCs w:val="24"/>
              </w:rPr>
              <w:t>For information</w:t>
            </w:r>
            <w:r w:rsidRPr="00792370">
              <w:rPr>
                <w:sz w:val="24"/>
                <w:szCs w:val="24"/>
              </w:rPr>
              <w:t>)</w:t>
            </w:r>
          </w:p>
        </w:tc>
      </w:tr>
    </w:tbl>
    <w:p w:rsidR="001606E9" w:rsidRDefault="001606E9">
      <w:pPr>
        <w:pStyle w:val="Heading1"/>
        <w:jc w:val="both"/>
      </w:pPr>
    </w:p>
    <w:p w:rsidR="005441BD" w:rsidRDefault="005441BD">
      <w:pPr>
        <w:pStyle w:val="Heading1"/>
        <w:jc w:val="both"/>
      </w:pPr>
      <w:r>
        <w:t>Section 2 – Report</w:t>
      </w:r>
    </w:p>
    <w:p w:rsidR="005441BD" w:rsidRPr="005C3704" w:rsidRDefault="00321F76" w:rsidP="005C3704">
      <w:pPr>
        <w:pStyle w:val="Heading2"/>
      </w:pPr>
      <w:r w:rsidRPr="005C3704">
        <w:t>Background</w:t>
      </w:r>
    </w:p>
    <w:p w:rsidR="00321F76" w:rsidRPr="00792370" w:rsidRDefault="00321F76" w:rsidP="00321F76">
      <w:pPr>
        <w:rPr>
          <w:sz w:val="24"/>
          <w:szCs w:val="24"/>
        </w:rPr>
      </w:pPr>
      <w:r w:rsidRPr="00792370">
        <w:rPr>
          <w:sz w:val="24"/>
          <w:szCs w:val="24"/>
        </w:rPr>
        <w:t>Prior to April 2019, public health in Harrow was a shared service with Barnet Council.  From the 1</w:t>
      </w:r>
      <w:r w:rsidRPr="00792370">
        <w:rPr>
          <w:sz w:val="24"/>
          <w:szCs w:val="24"/>
          <w:vertAlign w:val="superscript"/>
        </w:rPr>
        <w:t>st</w:t>
      </w:r>
      <w:r w:rsidRPr="00792370">
        <w:rPr>
          <w:sz w:val="24"/>
          <w:szCs w:val="24"/>
        </w:rPr>
        <w:t xml:space="preserve"> of April 2019, this team became two separate teams, with restructure of the team also occurring at this time.  Now following one year of being a re-focused Harrow </w:t>
      </w:r>
      <w:r w:rsidRPr="00792370">
        <w:rPr>
          <w:sz w:val="24"/>
          <w:szCs w:val="24"/>
        </w:rPr>
        <w:lastRenderedPageBreak/>
        <w:t xml:space="preserve">team, the plans and priorities for the coming year are being brought to Health and Care Scrutiny. </w:t>
      </w:r>
    </w:p>
    <w:p w:rsidR="00485F8D" w:rsidRDefault="00485F8D" w:rsidP="00321F76"/>
    <w:p w:rsidR="00F35F01" w:rsidRDefault="00485F8D" w:rsidP="00321F76">
      <w:r>
        <w:t xml:space="preserve">Public health </w:t>
      </w:r>
      <w:r w:rsidR="00383882">
        <w:t xml:space="preserve">team </w:t>
      </w:r>
      <w:r>
        <w:t>areas of work are covered in the following:</w:t>
      </w:r>
    </w:p>
    <w:p w:rsidR="00485F8D" w:rsidRDefault="00F35F01" w:rsidP="00485F8D">
      <w:r>
        <w:rPr>
          <w:noProof/>
          <w:lang w:eastAsia="en-GB"/>
        </w:rPr>
        <w:drawing>
          <wp:inline distT="0" distB="0" distL="0" distR="0" wp14:anchorId="3C5A23C8" wp14:editId="3C5A23C9">
            <wp:extent cx="5941060" cy="302638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1060" cy="3026386"/>
                    </a:xfrm>
                    <a:prstGeom prst="rect">
                      <a:avLst/>
                    </a:prstGeom>
                  </pic:spPr>
                </pic:pic>
              </a:graphicData>
            </a:graphic>
          </wp:inline>
        </w:drawing>
      </w:r>
    </w:p>
    <w:p w:rsidR="00321F76" w:rsidRDefault="00321F76" w:rsidP="00321F76"/>
    <w:p w:rsidR="00321F76" w:rsidRPr="00451479" w:rsidRDefault="00451479">
      <w:pPr>
        <w:rPr>
          <w:b/>
          <w:sz w:val="28"/>
          <w:szCs w:val="28"/>
        </w:rPr>
      </w:pPr>
      <w:r w:rsidRPr="00451479">
        <w:rPr>
          <w:b/>
          <w:sz w:val="28"/>
          <w:szCs w:val="28"/>
        </w:rPr>
        <w:t>Priorities within work areas</w:t>
      </w:r>
    </w:p>
    <w:p w:rsidR="00321F76" w:rsidRDefault="00321F76"/>
    <w:p w:rsidR="00196C90" w:rsidRPr="00953226" w:rsidRDefault="00196C90" w:rsidP="007B7E08">
      <w:pPr>
        <w:numPr>
          <w:ilvl w:val="0"/>
          <w:numId w:val="43"/>
        </w:numPr>
        <w:ind w:left="0" w:firstLine="0"/>
        <w:rPr>
          <w:b/>
        </w:rPr>
      </w:pPr>
      <w:r w:rsidRPr="00953226">
        <w:rPr>
          <w:b/>
        </w:rPr>
        <w:t>Development of overarching strategies</w:t>
      </w:r>
    </w:p>
    <w:p w:rsidR="00196C90" w:rsidRDefault="00196C90" w:rsidP="007B7E08"/>
    <w:p w:rsidR="00196C90" w:rsidRPr="00792370" w:rsidRDefault="00196C90" w:rsidP="007B7E08">
      <w:pPr>
        <w:rPr>
          <w:sz w:val="24"/>
          <w:szCs w:val="24"/>
          <w:u w:val="single"/>
        </w:rPr>
      </w:pPr>
      <w:r w:rsidRPr="00792370">
        <w:rPr>
          <w:sz w:val="24"/>
          <w:szCs w:val="24"/>
          <w:u w:val="single"/>
        </w:rPr>
        <w:t>Joint Strategic Needs Assessment (JSNA):</w:t>
      </w:r>
    </w:p>
    <w:p w:rsidR="00196C90" w:rsidRPr="00792370" w:rsidRDefault="00196C90" w:rsidP="007B7E08">
      <w:pPr>
        <w:rPr>
          <w:sz w:val="24"/>
          <w:szCs w:val="24"/>
        </w:rPr>
      </w:pPr>
      <w:r w:rsidRPr="00792370">
        <w:rPr>
          <w:sz w:val="24"/>
          <w:szCs w:val="24"/>
        </w:rPr>
        <w:t xml:space="preserve">This is being completed over the course of 2019-20.  The JSNA is a statutory requirement shared between the CCG and Local Authority.  It pulls together population and health data to assess the health needs of the population and inform priorities and strategies for the population of Harrow.  The JSNA is structured using the life course approach of Start Well, Live Well, Work Well, and Age Well. </w:t>
      </w:r>
    </w:p>
    <w:p w:rsidR="00196C90" w:rsidRPr="00792370" w:rsidRDefault="00196C90" w:rsidP="007B7E08">
      <w:pPr>
        <w:rPr>
          <w:sz w:val="24"/>
          <w:szCs w:val="24"/>
        </w:rPr>
      </w:pPr>
    </w:p>
    <w:p w:rsidR="00196C90" w:rsidRPr="00792370" w:rsidRDefault="00196C90" w:rsidP="007B7E08">
      <w:pPr>
        <w:rPr>
          <w:sz w:val="24"/>
          <w:szCs w:val="24"/>
          <w:u w:val="single"/>
        </w:rPr>
      </w:pPr>
      <w:r w:rsidRPr="00792370">
        <w:rPr>
          <w:sz w:val="24"/>
          <w:szCs w:val="24"/>
          <w:u w:val="single"/>
        </w:rPr>
        <w:t>Joint Health and Wellbeing Strategy (JHWS):</w:t>
      </w:r>
    </w:p>
    <w:p w:rsidR="00196C90" w:rsidRPr="00792370" w:rsidRDefault="00196C90" w:rsidP="007B7E08">
      <w:pPr>
        <w:rPr>
          <w:sz w:val="24"/>
          <w:szCs w:val="24"/>
        </w:rPr>
      </w:pPr>
      <w:r w:rsidRPr="00792370">
        <w:rPr>
          <w:sz w:val="24"/>
          <w:szCs w:val="24"/>
        </w:rPr>
        <w:t xml:space="preserve">This is being refreshed over 2019-20 to be launched as a new strategy for 2020-2023.  The strategy will follow the same life course approach as the JSNA and will be informed by the needs and priorities highlighted in the JSNA.  The JHWS will be developed through stakeholder consultation and signed off and owned by the Health and Wellbeing Board.  The strategy will involve and engage stakeholders across the Council and CCG, with wide-reaching actions and responsibilities for health and wellbeing. </w:t>
      </w:r>
    </w:p>
    <w:p w:rsidR="00D77C17" w:rsidRPr="00792370" w:rsidRDefault="00D77C17" w:rsidP="00196C90">
      <w:pPr>
        <w:ind w:left="720"/>
        <w:rPr>
          <w:sz w:val="24"/>
          <w:szCs w:val="24"/>
        </w:rPr>
      </w:pPr>
    </w:p>
    <w:p w:rsidR="00D77C17" w:rsidRPr="00792370" w:rsidRDefault="00D77C17" w:rsidP="007B7E08">
      <w:pPr>
        <w:rPr>
          <w:sz w:val="24"/>
          <w:szCs w:val="24"/>
          <w:u w:val="single"/>
        </w:rPr>
      </w:pPr>
      <w:r w:rsidRPr="00792370">
        <w:rPr>
          <w:sz w:val="24"/>
          <w:szCs w:val="24"/>
          <w:u w:val="single"/>
        </w:rPr>
        <w:t>Annual Public Health Report (APHR):</w:t>
      </w:r>
    </w:p>
    <w:p w:rsidR="00D77C17" w:rsidRPr="00792370" w:rsidRDefault="00D77C17" w:rsidP="007B7E08">
      <w:pPr>
        <w:rPr>
          <w:sz w:val="24"/>
          <w:szCs w:val="24"/>
        </w:rPr>
      </w:pPr>
      <w:r w:rsidRPr="00792370">
        <w:rPr>
          <w:sz w:val="24"/>
          <w:szCs w:val="24"/>
        </w:rPr>
        <w:t>The APHR is a statutory requirement to be produced annually.  This year the focus will be on mental health and commun</w:t>
      </w:r>
      <w:r w:rsidR="00D40BAB" w:rsidRPr="00792370">
        <w:rPr>
          <w:sz w:val="24"/>
          <w:szCs w:val="24"/>
        </w:rPr>
        <w:t xml:space="preserve">ity resilience, revisiting and </w:t>
      </w:r>
      <w:r w:rsidRPr="00792370">
        <w:rPr>
          <w:sz w:val="24"/>
          <w:szCs w:val="24"/>
        </w:rPr>
        <w:t xml:space="preserve">building on an APHR (“Building Bridges”) completed four years ago which looked at </w:t>
      </w:r>
      <w:r w:rsidR="00D40BAB" w:rsidRPr="00792370">
        <w:rPr>
          <w:sz w:val="24"/>
          <w:szCs w:val="24"/>
        </w:rPr>
        <w:t xml:space="preserve">social </w:t>
      </w:r>
      <w:r w:rsidRPr="00792370">
        <w:rPr>
          <w:sz w:val="24"/>
          <w:szCs w:val="24"/>
        </w:rPr>
        <w:t xml:space="preserve">isolation and loneliness in Harrow. </w:t>
      </w:r>
    </w:p>
    <w:p w:rsidR="00196C90" w:rsidRPr="00792370" w:rsidRDefault="00196C90" w:rsidP="007B7E08">
      <w:pPr>
        <w:rPr>
          <w:sz w:val="24"/>
          <w:szCs w:val="24"/>
        </w:rPr>
      </w:pPr>
    </w:p>
    <w:p w:rsidR="005441BD" w:rsidRPr="00792370" w:rsidRDefault="00451479" w:rsidP="007B7E08">
      <w:pPr>
        <w:numPr>
          <w:ilvl w:val="0"/>
          <w:numId w:val="43"/>
        </w:numPr>
        <w:ind w:left="0" w:firstLine="0"/>
        <w:rPr>
          <w:b/>
          <w:sz w:val="24"/>
          <w:szCs w:val="24"/>
        </w:rPr>
      </w:pPr>
      <w:r w:rsidRPr="00792370">
        <w:rPr>
          <w:b/>
          <w:sz w:val="24"/>
          <w:szCs w:val="24"/>
        </w:rPr>
        <w:t>Public health commissioning</w:t>
      </w:r>
    </w:p>
    <w:p w:rsidR="00451479" w:rsidRDefault="00451479" w:rsidP="007B7E08"/>
    <w:p w:rsidR="00451479" w:rsidRPr="00792370" w:rsidRDefault="00451479" w:rsidP="007B7E08">
      <w:pPr>
        <w:rPr>
          <w:sz w:val="24"/>
          <w:szCs w:val="24"/>
          <w:u w:val="single"/>
        </w:rPr>
      </w:pPr>
      <w:r w:rsidRPr="00792370">
        <w:rPr>
          <w:sz w:val="24"/>
          <w:szCs w:val="24"/>
          <w:u w:val="single"/>
        </w:rPr>
        <w:t>Sexual health</w:t>
      </w:r>
      <w:r w:rsidR="00953226" w:rsidRPr="00792370">
        <w:rPr>
          <w:sz w:val="24"/>
          <w:szCs w:val="24"/>
          <w:u w:val="single"/>
        </w:rPr>
        <w:t>:</w:t>
      </w:r>
      <w:r w:rsidRPr="00792370">
        <w:rPr>
          <w:sz w:val="24"/>
          <w:szCs w:val="24"/>
          <w:u w:val="single"/>
        </w:rPr>
        <w:t xml:space="preserve"> </w:t>
      </w:r>
    </w:p>
    <w:p w:rsidR="00451479" w:rsidRPr="00792370" w:rsidRDefault="00451479" w:rsidP="007B7E08">
      <w:pPr>
        <w:rPr>
          <w:sz w:val="24"/>
          <w:szCs w:val="24"/>
        </w:rPr>
      </w:pPr>
      <w:r w:rsidRPr="00792370">
        <w:rPr>
          <w:sz w:val="24"/>
          <w:szCs w:val="24"/>
        </w:rPr>
        <w:t xml:space="preserve">Harrow’s sexual health services are commissioning jointly across Outer North West London (Harrow, Brent and Ealing), with a rolling lead commissioner.  From September Harrow will be the lead commissioner.  </w:t>
      </w:r>
    </w:p>
    <w:p w:rsidR="00654D93" w:rsidRPr="00792370" w:rsidRDefault="00654D93" w:rsidP="007B7E08">
      <w:pPr>
        <w:rPr>
          <w:sz w:val="24"/>
          <w:szCs w:val="24"/>
        </w:rPr>
      </w:pPr>
      <w:r w:rsidRPr="00792370">
        <w:rPr>
          <w:sz w:val="24"/>
          <w:szCs w:val="24"/>
        </w:rPr>
        <w:lastRenderedPageBreak/>
        <w:t xml:space="preserve">The new integrated sexual health service </w:t>
      </w:r>
      <w:r w:rsidR="00B85924" w:rsidRPr="00792370">
        <w:rPr>
          <w:sz w:val="24"/>
          <w:szCs w:val="24"/>
        </w:rPr>
        <w:t xml:space="preserve">at </w:t>
      </w:r>
      <w:proofErr w:type="spellStart"/>
      <w:r w:rsidR="00B85924" w:rsidRPr="00792370">
        <w:rPr>
          <w:sz w:val="24"/>
          <w:szCs w:val="24"/>
        </w:rPr>
        <w:t>Caryl</w:t>
      </w:r>
      <w:proofErr w:type="spellEnd"/>
      <w:r w:rsidR="00B85924" w:rsidRPr="00792370">
        <w:rPr>
          <w:sz w:val="24"/>
          <w:szCs w:val="24"/>
        </w:rPr>
        <w:t xml:space="preserve"> Thomas </w:t>
      </w:r>
      <w:r w:rsidRPr="00792370">
        <w:rPr>
          <w:sz w:val="24"/>
          <w:szCs w:val="24"/>
        </w:rPr>
        <w:t xml:space="preserve">has now been officially launched – bringing together </w:t>
      </w:r>
      <w:r w:rsidR="00B85924" w:rsidRPr="00792370">
        <w:rPr>
          <w:sz w:val="24"/>
          <w:szCs w:val="24"/>
        </w:rPr>
        <w:t xml:space="preserve">testing and treatment services. </w:t>
      </w:r>
    </w:p>
    <w:p w:rsidR="00B85924" w:rsidRPr="00792370" w:rsidRDefault="00B85924" w:rsidP="007B7E08">
      <w:pPr>
        <w:rPr>
          <w:sz w:val="24"/>
          <w:szCs w:val="24"/>
        </w:rPr>
      </w:pPr>
      <w:r w:rsidRPr="00792370">
        <w:rPr>
          <w:sz w:val="24"/>
          <w:szCs w:val="24"/>
        </w:rPr>
        <w:t xml:space="preserve">Channel-shift to the London-wide e-service continues to increase and is being monitored carefully. </w:t>
      </w:r>
    </w:p>
    <w:p w:rsidR="00B85924" w:rsidRPr="00792370" w:rsidRDefault="00B85924" w:rsidP="007B7E08">
      <w:pPr>
        <w:rPr>
          <w:sz w:val="24"/>
          <w:szCs w:val="24"/>
        </w:rPr>
      </w:pPr>
    </w:p>
    <w:p w:rsidR="00B85924" w:rsidRPr="00792370" w:rsidRDefault="00B85924" w:rsidP="007B7E08">
      <w:pPr>
        <w:rPr>
          <w:sz w:val="24"/>
          <w:szCs w:val="24"/>
          <w:u w:val="single"/>
        </w:rPr>
      </w:pPr>
      <w:r w:rsidRPr="00792370">
        <w:rPr>
          <w:sz w:val="24"/>
          <w:szCs w:val="24"/>
          <w:u w:val="single"/>
        </w:rPr>
        <w:t>Substance misuse</w:t>
      </w:r>
      <w:r w:rsidR="00953226" w:rsidRPr="00792370">
        <w:rPr>
          <w:sz w:val="24"/>
          <w:szCs w:val="24"/>
          <w:u w:val="single"/>
        </w:rPr>
        <w:t>:</w:t>
      </w:r>
    </w:p>
    <w:p w:rsidR="00B85924" w:rsidRPr="00792370" w:rsidRDefault="00B85924" w:rsidP="007B7E08">
      <w:pPr>
        <w:rPr>
          <w:sz w:val="24"/>
          <w:szCs w:val="24"/>
        </w:rPr>
      </w:pPr>
      <w:r w:rsidRPr="00792370">
        <w:rPr>
          <w:sz w:val="24"/>
          <w:szCs w:val="24"/>
        </w:rPr>
        <w:t xml:space="preserve">The adult drug and alcohol service </w:t>
      </w:r>
      <w:r w:rsidR="007F3587" w:rsidRPr="00792370">
        <w:rPr>
          <w:sz w:val="24"/>
          <w:szCs w:val="24"/>
        </w:rPr>
        <w:t>contract is due for renewal by April</w:t>
      </w:r>
      <w:r w:rsidR="00B85694" w:rsidRPr="00792370">
        <w:rPr>
          <w:sz w:val="24"/>
          <w:szCs w:val="24"/>
        </w:rPr>
        <w:t xml:space="preserve"> 2020</w:t>
      </w:r>
      <w:r w:rsidR="007F3587" w:rsidRPr="00792370">
        <w:rPr>
          <w:sz w:val="24"/>
          <w:szCs w:val="24"/>
        </w:rPr>
        <w:t xml:space="preserve">. </w:t>
      </w:r>
      <w:r w:rsidR="00B85694" w:rsidRPr="00792370">
        <w:rPr>
          <w:sz w:val="24"/>
          <w:szCs w:val="24"/>
        </w:rPr>
        <w:t xml:space="preserve"> </w:t>
      </w:r>
      <w:r w:rsidRPr="00792370">
        <w:rPr>
          <w:sz w:val="24"/>
          <w:szCs w:val="24"/>
        </w:rPr>
        <w:t>This re</w:t>
      </w:r>
      <w:r w:rsidR="00B85694" w:rsidRPr="00792370">
        <w:rPr>
          <w:sz w:val="24"/>
          <w:szCs w:val="24"/>
        </w:rPr>
        <w:t>-</w:t>
      </w:r>
      <w:r w:rsidRPr="00792370">
        <w:rPr>
          <w:sz w:val="24"/>
          <w:szCs w:val="24"/>
        </w:rPr>
        <w:t xml:space="preserve">procurement will be the focus of this coming year. </w:t>
      </w:r>
    </w:p>
    <w:p w:rsidR="00B85924" w:rsidRPr="00792370" w:rsidRDefault="00B85924" w:rsidP="007B7E08">
      <w:pPr>
        <w:rPr>
          <w:sz w:val="24"/>
          <w:szCs w:val="24"/>
        </w:rPr>
      </w:pPr>
    </w:p>
    <w:p w:rsidR="00B85924" w:rsidRPr="00792370" w:rsidRDefault="00B85924" w:rsidP="007B7E08">
      <w:pPr>
        <w:rPr>
          <w:sz w:val="24"/>
          <w:szCs w:val="24"/>
          <w:u w:val="single"/>
        </w:rPr>
      </w:pPr>
      <w:r w:rsidRPr="00792370">
        <w:rPr>
          <w:sz w:val="24"/>
          <w:szCs w:val="24"/>
          <w:u w:val="single"/>
        </w:rPr>
        <w:t>0-19</w:t>
      </w:r>
      <w:r w:rsidR="00953226" w:rsidRPr="00792370">
        <w:rPr>
          <w:sz w:val="24"/>
          <w:szCs w:val="24"/>
          <w:u w:val="single"/>
        </w:rPr>
        <w:t>:</w:t>
      </w:r>
    </w:p>
    <w:p w:rsidR="00B85924" w:rsidRPr="00792370" w:rsidRDefault="00B85924" w:rsidP="007B7E08">
      <w:pPr>
        <w:rPr>
          <w:sz w:val="24"/>
          <w:szCs w:val="24"/>
        </w:rPr>
      </w:pPr>
      <w:proofErr w:type="gramStart"/>
      <w:r w:rsidRPr="00792370">
        <w:rPr>
          <w:sz w:val="24"/>
          <w:szCs w:val="24"/>
        </w:rPr>
        <w:t>The new 0-19 service officially launched on 1</w:t>
      </w:r>
      <w:r w:rsidRPr="00792370">
        <w:rPr>
          <w:sz w:val="24"/>
          <w:szCs w:val="24"/>
          <w:vertAlign w:val="superscript"/>
        </w:rPr>
        <w:t>st</w:t>
      </w:r>
      <w:r w:rsidRPr="00792370">
        <w:rPr>
          <w:sz w:val="24"/>
          <w:szCs w:val="24"/>
        </w:rPr>
        <w:t xml:space="preserve"> July 2018.</w:t>
      </w:r>
      <w:proofErr w:type="gramEnd"/>
      <w:r w:rsidRPr="00792370">
        <w:rPr>
          <w:sz w:val="24"/>
          <w:szCs w:val="24"/>
        </w:rPr>
        <w:t xml:space="preserve">  Mobilisation and transition to the new service has been ongoing.  The new service brings in changes to the health checks offered to babies, and these changes will be piloted over the coming year.  KPIs will continue to be monitored closely. </w:t>
      </w:r>
    </w:p>
    <w:p w:rsidR="00B85924" w:rsidRPr="00792370" w:rsidRDefault="00B85924" w:rsidP="007B7E08">
      <w:pPr>
        <w:rPr>
          <w:sz w:val="24"/>
          <w:szCs w:val="24"/>
        </w:rPr>
      </w:pPr>
    </w:p>
    <w:p w:rsidR="00B85924" w:rsidRPr="00792370" w:rsidRDefault="00B85924" w:rsidP="007B7E08">
      <w:pPr>
        <w:rPr>
          <w:sz w:val="24"/>
          <w:szCs w:val="24"/>
          <w:u w:val="single"/>
        </w:rPr>
      </w:pPr>
      <w:r w:rsidRPr="00792370">
        <w:rPr>
          <w:sz w:val="24"/>
          <w:szCs w:val="24"/>
          <w:u w:val="single"/>
        </w:rPr>
        <w:t>NHS Health Checks</w:t>
      </w:r>
      <w:r w:rsidR="00953226" w:rsidRPr="00792370">
        <w:rPr>
          <w:sz w:val="24"/>
          <w:szCs w:val="24"/>
          <w:u w:val="single"/>
        </w:rPr>
        <w:t>:</w:t>
      </w:r>
    </w:p>
    <w:p w:rsidR="00B85924" w:rsidRPr="00792370" w:rsidRDefault="00B85924" w:rsidP="007B7E08">
      <w:pPr>
        <w:rPr>
          <w:sz w:val="24"/>
          <w:szCs w:val="24"/>
        </w:rPr>
      </w:pPr>
      <w:r w:rsidRPr="00792370">
        <w:rPr>
          <w:sz w:val="24"/>
          <w:szCs w:val="24"/>
        </w:rPr>
        <w:t xml:space="preserve">The NHS Health Checks programme, delivered through GPs, met the target for the first time ever for Harrow Council at the end of March 2019.  Over the coming year the focus will be to build on this, getting all GPs on board and working towards a higher conversion rate of Health Checks completed versus invited. </w:t>
      </w:r>
    </w:p>
    <w:p w:rsidR="00D77C17" w:rsidRPr="00792370" w:rsidRDefault="00D77C17" w:rsidP="00B85924">
      <w:pPr>
        <w:rPr>
          <w:sz w:val="24"/>
          <w:szCs w:val="24"/>
        </w:rPr>
      </w:pPr>
    </w:p>
    <w:p w:rsidR="00B85924" w:rsidRPr="00953226" w:rsidRDefault="00B85924" w:rsidP="007B7E08">
      <w:pPr>
        <w:pStyle w:val="ListParagraph"/>
        <w:numPr>
          <w:ilvl w:val="0"/>
          <w:numId w:val="43"/>
        </w:numPr>
        <w:ind w:left="0" w:firstLine="0"/>
        <w:rPr>
          <w:b/>
          <w:sz w:val="24"/>
          <w:szCs w:val="24"/>
        </w:rPr>
      </w:pPr>
      <w:r w:rsidRPr="00953226">
        <w:rPr>
          <w:b/>
          <w:sz w:val="24"/>
          <w:szCs w:val="24"/>
        </w:rPr>
        <w:t>Health Improvement</w:t>
      </w:r>
    </w:p>
    <w:p w:rsidR="00D77C17" w:rsidRDefault="00D77C17" w:rsidP="007B7E08">
      <w:pPr>
        <w:pStyle w:val="ListParagraph"/>
        <w:ind w:left="0"/>
        <w:rPr>
          <w:sz w:val="24"/>
          <w:szCs w:val="24"/>
        </w:rPr>
      </w:pPr>
    </w:p>
    <w:p w:rsidR="00D77C17" w:rsidRPr="00792370" w:rsidRDefault="00D77C17" w:rsidP="007B7E08">
      <w:pPr>
        <w:pStyle w:val="ListParagraph"/>
        <w:ind w:left="0"/>
        <w:rPr>
          <w:sz w:val="24"/>
          <w:szCs w:val="24"/>
          <w:u w:val="single"/>
        </w:rPr>
      </w:pPr>
      <w:r w:rsidRPr="00792370">
        <w:rPr>
          <w:sz w:val="24"/>
          <w:szCs w:val="24"/>
          <w:u w:val="single"/>
        </w:rPr>
        <w:t>Oral health:</w:t>
      </w:r>
    </w:p>
    <w:p w:rsidR="00D77C17" w:rsidRPr="00792370" w:rsidRDefault="00D77C17" w:rsidP="007B7E08">
      <w:pPr>
        <w:pStyle w:val="ListParagraph"/>
        <w:ind w:left="0"/>
        <w:rPr>
          <w:sz w:val="24"/>
          <w:szCs w:val="24"/>
        </w:rPr>
      </w:pPr>
      <w:r w:rsidRPr="00792370">
        <w:rPr>
          <w:sz w:val="24"/>
          <w:szCs w:val="24"/>
        </w:rPr>
        <w:t xml:space="preserve">Oral health is a priority for public health in Harrow, with the highest proportion of children with decayed missing or filled teeth by the age of 5 compared to the rest of London.  </w:t>
      </w:r>
    </w:p>
    <w:p w:rsidR="007B7E08" w:rsidRPr="00792370" w:rsidRDefault="007B7E08" w:rsidP="007B7E08">
      <w:pPr>
        <w:pStyle w:val="ListParagraph"/>
        <w:ind w:left="0"/>
        <w:rPr>
          <w:sz w:val="24"/>
          <w:szCs w:val="24"/>
        </w:rPr>
      </w:pPr>
    </w:p>
    <w:p w:rsidR="00D77C17" w:rsidRPr="00792370" w:rsidRDefault="00D77C17" w:rsidP="007B7E08">
      <w:pPr>
        <w:pStyle w:val="ListParagraph"/>
        <w:ind w:left="0"/>
        <w:rPr>
          <w:sz w:val="24"/>
          <w:szCs w:val="24"/>
        </w:rPr>
      </w:pPr>
      <w:r w:rsidRPr="00792370">
        <w:rPr>
          <w:sz w:val="24"/>
          <w:szCs w:val="24"/>
        </w:rPr>
        <w:t>Over the coming year the oral health strategic group will be re-established to pull together and have oversight of various elements of work on oral health.  These include:</w:t>
      </w:r>
    </w:p>
    <w:p w:rsidR="007B7E08" w:rsidRPr="00792370" w:rsidRDefault="00B85694" w:rsidP="007B7E08">
      <w:pPr>
        <w:pStyle w:val="ListParagraph"/>
        <w:numPr>
          <w:ilvl w:val="0"/>
          <w:numId w:val="40"/>
        </w:numPr>
        <w:ind w:left="1276" w:hanging="425"/>
        <w:rPr>
          <w:sz w:val="24"/>
          <w:szCs w:val="24"/>
        </w:rPr>
      </w:pPr>
      <w:r w:rsidRPr="00792370">
        <w:rPr>
          <w:sz w:val="24"/>
          <w:szCs w:val="24"/>
        </w:rPr>
        <w:t xml:space="preserve">Managing </w:t>
      </w:r>
      <w:r w:rsidR="00D77C17" w:rsidRPr="00792370">
        <w:rPr>
          <w:sz w:val="24"/>
          <w:szCs w:val="24"/>
        </w:rPr>
        <w:t>Migration fund – recruiting an oral health promoter working with the Romanian community</w:t>
      </w:r>
    </w:p>
    <w:p w:rsidR="00D77C17" w:rsidRPr="00792370" w:rsidRDefault="00D77C17" w:rsidP="00982366">
      <w:pPr>
        <w:pStyle w:val="ListParagraph"/>
        <w:numPr>
          <w:ilvl w:val="0"/>
          <w:numId w:val="40"/>
        </w:numPr>
        <w:ind w:left="1276"/>
        <w:rPr>
          <w:sz w:val="24"/>
          <w:szCs w:val="24"/>
        </w:rPr>
      </w:pPr>
      <w:r w:rsidRPr="00792370">
        <w:rPr>
          <w:sz w:val="24"/>
          <w:szCs w:val="24"/>
        </w:rPr>
        <w:t>Continuing to supply oral health brushing packs</w:t>
      </w:r>
    </w:p>
    <w:p w:rsidR="00982366" w:rsidRPr="00792370" w:rsidRDefault="00982366" w:rsidP="00982366">
      <w:pPr>
        <w:pStyle w:val="ListParagraph"/>
        <w:numPr>
          <w:ilvl w:val="0"/>
          <w:numId w:val="40"/>
        </w:numPr>
        <w:ind w:left="1276"/>
        <w:rPr>
          <w:sz w:val="24"/>
          <w:szCs w:val="24"/>
        </w:rPr>
      </w:pPr>
      <w:r w:rsidRPr="00792370">
        <w:rPr>
          <w:sz w:val="24"/>
          <w:szCs w:val="24"/>
        </w:rPr>
        <w:t>Continue to evaluate impact of oral health training previously delivered to front line early years staff</w:t>
      </w:r>
    </w:p>
    <w:p w:rsidR="00982366" w:rsidRPr="00792370" w:rsidRDefault="00982366" w:rsidP="00982366">
      <w:pPr>
        <w:pStyle w:val="ListParagraph"/>
        <w:numPr>
          <w:ilvl w:val="0"/>
          <w:numId w:val="40"/>
        </w:numPr>
        <w:ind w:left="1276"/>
        <w:rPr>
          <w:sz w:val="24"/>
          <w:szCs w:val="24"/>
        </w:rPr>
      </w:pPr>
      <w:r w:rsidRPr="00792370">
        <w:rPr>
          <w:sz w:val="24"/>
          <w:szCs w:val="24"/>
        </w:rPr>
        <w:t>Healthy Pupil Capital Fund – this has been used to install water fountains in schools across Harrow</w:t>
      </w:r>
    </w:p>
    <w:p w:rsidR="00982366" w:rsidRPr="00792370" w:rsidRDefault="00982366" w:rsidP="00982366">
      <w:pPr>
        <w:rPr>
          <w:sz w:val="24"/>
          <w:szCs w:val="24"/>
        </w:rPr>
      </w:pPr>
    </w:p>
    <w:p w:rsidR="00D40BAB" w:rsidRPr="00792370" w:rsidRDefault="00D40BAB" w:rsidP="007B7E08">
      <w:pPr>
        <w:rPr>
          <w:sz w:val="24"/>
          <w:szCs w:val="24"/>
          <w:u w:val="single"/>
        </w:rPr>
      </w:pPr>
      <w:r w:rsidRPr="00792370">
        <w:rPr>
          <w:sz w:val="24"/>
          <w:szCs w:val="24"/>
          <w:u w:val="single"/>
        </w:rPr>
        <w:t>Obesity:</w:t>
      </w:r>
    </w:p>
    <w:p w:rsidR="00D40BAB" w:rsidRPr="00792370" w:rsidRDefault="007B7E08" w:rsidP="007B7E08">
      <w:pPr>
        <w:rPr>
          <w:sz w:val="24"/>
          <w:szCs w:val="24"/>
        </w:rPr>
      </w:pPr>
      <w:r w:rsidRPr="00792370">
        <w:rPr>
          <w:sz w:val="24"/>
          <w:szCs w:val="24"/>
        </w:rPr>
        <w:t>Obesity</w:t>
      </w:r>
      <w:r w:rsidR="00E95B48" w:rsidRPr="00792370">
        <w:rPr>
          <w:sz w:val="24"/>
          <w:szCs w:val="24"/>
        </w:rPr>
        <w:t xml:space="preserve"> is a priority issue in Harrow.  18.8% of reception children in Harrow are overweight, rising to 34.4% in year 6</w:t>
      </w:r>
      <w:r w:rsidR="003024DF" w:rsidRPr="00792370">
        <w:rPr>
          <w:sz w:val="24"/>
          <w:szCs w:val="24"/>
        </w:rPr>
        <w:t xml:space="preserve"> (National Childhood Measurement Programme data)</w:t>
      </w:r>
      <w:r w:rsidR="00E95B48" w:rsidRPr="00792370">
        <w:rPr>
          <w:sz w:val="24"/>
          <w:szCs w:val="24"/>
        </w:rPr>
        <w:t>.  This is comparable to overall rates in England.  Obesity is a key risk factor for diabetes, and Harrow has the highest prevalence of diabetes in London.</w:t>
      </w:r>
    </w:p>
    <w:p w:rsidR="00E95B48" w:rsidRPr="00792370" w:rsidRDefault="00E95B48" w:rsidP="007B7E08">
      <w:pPr>
        <w:rPr>
          <w:sz w:val="24"/>
          <w:szCs w:val="24"/>
        </w:rPr>
      </w:pPr>
    </w:p>
    <w:p w:rsidR="00E95B48" w:rsidRPr="00792370" w:rsidRDefault="00E95B48" w:rsidP="007B7E08">
      <w:pPr>
        <w:rPr>
          <w:sz w:val="24"/>
          <w:szCs w:val="24"/>
        </w:rPr>
      </w:pPr>
      <w:r w:rsidRPr="00792370">
        <w:rPr>
          <w:sz w:val="24"/>
          <w:szCs w:val="24"/>
        </w:rPr>
        <w:t xml:space="preserve">The causes of obesity are complex, relating to many factors in the environment in which we live.  Harrow has an obesity strategy, providing actions to prevent obesity and manage weight.  However this strategy is out of date and will be updated during 2019-20, developing new actions for stakeholders working across various Council and wider departments that can influence prevention of obesity as well across the obesity pathway. One current gap is around weight management services, and this will be looked at as part of this strategy refresh. </w:t>
      </w:r>
    </w:p>
    <w:p w:rsidR="007B7E08" w:rsidRPr="00792370" w:rsidRDefault="007B7E08" w:rsidP="00982366">
      <w:pPr>
        <w:rPr>
          <w:sz w:val="24"/>
          <w:szCs w:val="24"/>
        </w:rPr>
      </w:pPr>
    </w:p>
    <w:p w:rsidR="00982366" w:rsidRPr="00792370" w:rsidRDefault="00982366" w:rsidP="00982366">
      <w:pPr>
        <w:rPr>
          <w:sz w:val="24"/>
          <w:szCs w:val="24"/>
          <w:u w:val="single"/>
        </w:rPr>
      </w:pPr>
      <w:r w:rsidRPr="00792370">
        <w:rPr>
          <w:sz w:val="24"/>
          <w:szCs w:val="24"/>
          <w:u w:val="single"/>
        </w:rPr>
        <w:t xml:space="preserve">Healthy </w:t>
      </w:r>
      <w:r w:rsidR="00B85694" w:rsidRPr="00792370">
        <w:rPr>
          <w:sz w:val="24"/>
          <w:szCs w:val="24"/>
          <w:u w:val="single"/>
        </w:rPr>
        <w:t>Early Years and Healthy Schools:</w:t>
      </w:r>
    </w:p>
    <w:p w:rsidR="00982366" w:rsidRPr="00792370" w:rsidRDefault="00982366" w:rsidP="007B7E08">
      <w:pPr>
        <w:rPr>
          <w:sz w:val="24"/>
          <w:szCs w:val="24"/>
        </w:rPr>
      </w:pPr>
      <w:r w:rsidRPr="00792370">
        <w:rPr>
          <w:sz w:val="24"/>
          <w:szCs w:val="24"/>
        </w:rPr>
        <w:lastRenderedPageBreak/>
        <w:t xml:space="preserve">Healthy </w:t>
      </w:r>
      <w:r w:rsidR="0085786F" w:rsidRPr="00792370">
        <w:rPr>
          <w:sz w:val="24"/>
          <w:szCs w:val="24"/>
        </w:rPr>
        <w:t>S</w:t>
      </w:r>
      <w:r w:rsidRPr="00792370">
        <w:rPr>
          <w:sz w:val="24"/>
          <w:szCs w:val="24"/>
        </w:rPr>
        <w:t>chools London is a pan-London GLA supported initiative to support schools to be healthier focussing on obesity, oral health, physical activity, and m</w:t>
      </w:r>
      <w:r w:rsidR="00D40BAB" w:rsidRPr="00792370">
        <w:rPr>
          <w:sz w:val="24"/>
          <w:szCs w:val="24"/>
        </w:rPr>
        <w:t>ental health as themes.  Health</w:t>
      </w:r>
      <w:r w:rsidRPr="00792370">
        <w:rPr>
          <w:sz w:val="24"/>
          <w:szCs w:val="24"/>
        </w:rPr>
        <w:t xml:space="preserve"> Education Partnership </w:t>
      </w:r>
      <w:proofErr w:type="gramStart"/>
      <w:r w:rsidRPr="00792370">
        <w:rPr>
          <w:sz w:val="24"/>
          <w:szCs w:val="24"/>
        </w:rPr>
        <w:t>are</w:t>
      </w:r>
      <w:proofErr w:type="gramEnd"/>
      <w:r w:rsidRPr="00792370">
        <w:rPr>
          <w:sz w:val="24"/>
          <w:szCs w:val="24"/>
        </w:rPr>
        <w:t xml:space="preserve"> commissioned to provide support to schools.  54 of 62 schools are registered, with 32 bronze, 20 silver, and 11 gold awards.  </w:t>
      </w:r>
      <w:r w:rsidR="008E2E16" w:rsidRPr="00792370">
        <w:rPr>
          <w:sz w:val="24"/>
          <w:szCs w:val="24"/>
        </w:rPr>
        <w:t xml:space="preserve">Over the coming year the aim is to increase the number of schools with awards – 10 new bronze, </w:t>
      </w:r>
      <w:proofErr w:type="gramStart"/>
      <w:r w:rsidR="008E2E16" w:rsidRPr="00792370">
        <w:rPr>
          <w:sz w:val="24"/>
          <w:szCs w:val="24"/>
        </w:rPr>
        <w:t>8 silver,</w:t>
      </w:r>
      <w:proofErr w:type="gramEnd"/>
      <w:r w:rsidR="008E2E16" w:rsidRPr="00792370">
        <w:rPr>
          <w:sz w:val="24"/>
          <w:szCs w:val="24"/>
        </w:rPr>
        <w:t xml:space="preserve"> and 6 gold awards. </w:t>
      </w:r>
    </w:p>
    <w:p w:rsidR="007B7E08" w:rsidRPr="00792370" w:rsidRDefault="007B7E08" w:rsidP="007B7E08">
      <w:pPr>
        <w:rPr>
          <w:sz w:val="24"/>
          <w:szCs w:val="24"/>
        </w:rPr>
      </w:pPr>
    </w:p>
    <w:p w:rsidR="008E2E16" w:rsidRPr="00792370" w:rsidRDefault="008E2E16" w:rsidP="007B7E08">
      <w:pPr>
        <w:rPr>
          <w:sz w:val="24"/>
          <w:szCs w:val="24"/>
        </w:rPr>
      </w:pPr>
      <w:r w:rsidRPr="00792370">
        <w:rPr>
          <w:sz w:val="24"/>
          <w:szCs w:val="24"/>
        </w:rPr>
        <w:t xml:space="preserve">Healthy </w:t>
      </w:r>
      <w:r w:rsidR="0085786F" w:rsidRPr="00792370">
        <w:rPr>
          <w:sz w:val="24"/>
          <w:szCs w:val="24"/>
        </w:rPr>
        <w:t>E</w:t>
      </w:r>
      <w:r w:rsidRPr="00792370">
        <w:rPr>
          <w:sz w:val="24"/>
          <w:szCs w:val="24"/>
        </w:rPr>
        <w:t xml:space="preserve">arly </w:t>
      </w:r>
      <w:r w:rsidR="0085786F" w:rsidRPr="00792370">
        <w:rPr>
          <w:sz w:val="24"/>
          <w:szCs w:val="24"/>
        </w:rPr>
        <w:t>Y</w:t>
      </w:r>
      <w:r w:rsidRPr="00792370">
        <w:rPr>
          <w:sz w:val="24"/>
          <w:szCs w:val="24"/>
        </w:rPr>
        <w:t xml:space="preserve">ears </w:t>
      </w:r>
      <w:r w:rsidR="0085786F" w:rsidRPr="00792370">
        <w:rPr>
          <w:sz w:val="24"/>
          <w:szCs w:val="24"/>
        </w:rPr>
        <w:t xml:space="preserve">is a new pan-London GLA supported initiative which transposes the learning form the Health Schools programme into an early years setting.  Introduced in </w:t>
      </w:r>
      <w:proofErr w:type="gramStart"/>
      <w:r w:rsidR="0085786F" w:rsidRPr="00792370">
        <w:rPr>
          <w:sz w:val="24"/>
          <w:szCs w:val="24"/>
        </w:rPr>
        <w:t>Summer</w:t>
      </w:r>
      <w:proofErr w:type="gramEnd"/>
      <w:r w:rsidR="0085786F" w:rsidRPr="00792370">
        <w:rPr>
          <w:sz w:val="24"/>
          <w:szCs w:val="24"/>
        </w:rPr>
        <w:t xml:space="preserve"> 2018, it </w:t>
      </w:r>
      <w:r w:rsidRPr="00792370">
        <w:rPr>
          <w:sz w:val="24"/>
          <w:szCs w:val="24"/>
        </w:rPr>
        <w:t xml:space="preserve">is also being </w:t>
      </w:r>
      <w:r w:rsidR="0085786F" w:rsidRPr="00792370">
        <w:rPr>
          <w:sz w:val="24"/>
          <w:szCs w:val="24"/>
        </w:rPr>
        <w:t>implemented in Harrow</w:t>
      </w:r>
      <w:r w:rsidR="00D40BAB" w:rsidRPr="00792370">
        <w:rPr>
          <w:sz w:val="24"/>
          <w:szCs w:val="24"/>
        </w:rPr>
        <w:t xml:space="preserve">, again with support from Health Education Partnership.  </w:t>
      </w:r>
      <w:r w:rsidR="0085786F" w:rsidRPr="00792370">
        <w:rPr>
          <w:sz w:val="24"/>
          <w:szCs w:val="24"/>
        </w:rPr>
        <w:t>A number of e</w:t>
      </w:r>
      <w:r w:rsidR="00D40BAB" w:rsidRPr="00792370">
        <w:rPr>
          <w:sz w:val="24"/>
          <w:szCs w:val="24"/>
        </w:rPr>
        <w:t xml:space="preserve">arly </w:t>
      </w:r>
      <w:proofErr w:type="gramStart"/>
      <w:r w:rsidR="00D40BAB" w:rsidRPr="00792370">
        <w:rPr>
          <w:sz w:val="24"/>
          <w:szCs w:val="24"/>
        </w:rPr>
        <w:t>years</w:t>
      </w:r>
      <w:proofErr w:type="gramEnd"/>
      <w:r w:rsidR="00D40BAB" w:rsidRPr="00792370">
        <w:rPr>
          <w:sz w:val="24"/>
          <w:szCs w:val="24"/>
        </w:rPr>
        <w:t xml:space="preserve"> settings are working towards bronze award</w:t>
      </w:r>
      <w:r w:rsidR="0085786F" w:rsidRPr="00792370">
        <w:rPr>
          <w:sz w:val="24"/>
          <w:szCs w:val="24"/>
        </w:rPr>
        <w:t>,</w:t>
      </w:r>
      <w:r w:rsidR="00D40BAB" w:rsidRPr="00792370">
        <w:rPr>
          <w:sz w:val="24"/>
          <w:szCs w:val="24"/>
        </w:rPr>
        <w:t xml:space="preserve"> </w:t>
      </w:r>
      <w:r w:rsidR="0085786F" w:rsidRPr="00792370">
        <w:rPr>
          <w:sz w:val="24"/>
          <w:szCs w:val="24"/>
        </w:rPr>
        <w:t xml:space="preserve">with </w:t>
      </w:r>
      <w:r w:rsidR="00D40BAB" w:rsidRPr="00792370">
        <w:rPr>
          <w:sz w:val="24"/>
          <w:szCs w:val="24"/>
        </w:rPr>
        <w:t>Cedar’s Children’s Centre</w:t>
      </w:r>
      <w:r w:rsidR="0085786F" w:rsidRPr="00792370">
        <w:rPr>
          <w:sz w:val="24"/>
          <w:szCs w:val="24"/>
        </w:rPr>
        <w:t xml:space="preserve"> being the first to achieve it</w:t>
      </w:r>
      <w:r w:rsidR="00D40BAB" w:rsidRPr="00792370">
        <w:rPr>
          <w:sz w:val="24"/>
          <w:szCs w:val="24"/>
        </w:rPr>
        <w:t xml:space="preserve">. This will be built on further over coming year aiming for more settings to achieve this award.  </w:t>
      </w:r>
    </w:p>
    <w:p w:rsidR="00D40BAB" w:rsidRPr="00792370" w:rsidRDefault="00D40BAB" w:rsidP="00D40BAB">
      <w:pPr>
        <w:pStyle w:val="ListParagraph"/>
        <w:rPr>
          <w:sz w:val="24"/>
          <w:szCs w:val="24"/>
        </w:rPr>
      </w:pPr>
    </w:p>
    <w:p w:rsidR="008E2E16" w:rsidRPr="00792370" w:rsidRDefault="008E2E16" w:rsidP="008E2E16">
      <w:pPr>
        <w:rPr>
          <w:sz w:val="24"/>
          <w:szCs w:val="24"/>
          <w:u w:val="single"/>
        </w:rPr>
      </w:pPr>
      <w:r w:rsidRPr="00792370">
        <w:rPr>
          <w:sz w:val="24"/>
          <w:szCs w:val="24"/>
          <w:u w:val="single"/>
        </w:rPr>
        <w:t>Physical activity:</w:t>
      </w:r>
    </w:p>
    <w:p w:rsidR="008E2E16" w:rsidRPr="00792370" w:rsidRDefault="008E2E16" w:rsidP="008E2E16">
      <w:pPr>
        <w:rPr>
          <w:sz w:val="24"/>
          <w:szCs w:val="24"/>
        </w:rPr>
      </w:pPr>
      <w:r w:rsidRPr="00792370">
        <w:rPr>
          <w:sz w:val="24"/>
          <w:szCs w:val="24"/>
        </w:rPr>
        <w:t xml:space="preserve">Work on physical activity is led through the Active Harrow strategy group, </w:t>
      </w:r>
      <w:r w:rsidR="0085786F" w:rsidRPr="00792370">
        <w:rPr>
          <w:sz w:val="24"/>
          <w:szCs w:val="24"/>
        </w:rPr>
        <w:t>a partnership that</w:t>
      </w:r>
      <w:r w:rsidRPr="00792370">
        <w:rPr>
          <w:sz w:val="24"/>
          <w:szCs w:val="24"/>
        </w:rPr>
        <w:t xml:space="preserve"> leads the monitoring and oversight of the</w:t>
      </w:r>
      <w:r w:rsidR="00E95B48" w:rsidRPr="00792370">
        <w:rPr>
          <w:sz w:val="24"/>
          <w:szCs w:val="24"/>
        </w:rPr>
        <w:t xml:space="preserve"> physical activity action plan.  The action plan is currently in the process of being updated, with new refreshed actions to bring wider stakeholders together to increase physical activity in more groups, particularly in established priority groups currently undertaking less physical activity.  Actions will relate to transport, leisure, parks, and public health. </w:t>
      </w:r>
    </w:p>
    <w:p w:rsidR="00E95B48" w:rsidRPr="00792370" w:rsidRDefault="00E95B48" w:rsidP="008E2E16">
      <w:pPr>
        <w:rPr>
          <w:sz w:val="24"/>
          <w:szCs w:val="24"/>
        </w:rPr>
      </w:pPr>
    </w:p>
    <w:p w:rsidR="00F35F01" w:rsidRPr="00792370" w:rsidRDefault="00F35F01" w:rsidP="008E2E16">
      <w:pPr>
        <w:rPr>
          <w:sz w:val="24"/>
          <w:szCs w:val="24"/>
          <w:u w:val="single"/>
        </w:rPr>
      </w:pPr>
      <w:r w:rsidRPr="00792370">
        <w:rPr>
          <w:sz w:val="24"/>
          <w:szCs w:val="24"/>
          <w:u w:val="single"/>
        </w:rPr>
        <w:t>Smoking:</w:t>
      </w:r>
    </w:p>
    <w:p w:rsidR="00F35F01" w:rsidRPr="00792370" w:rsidRDefault="003024DF" w:rsidP="008E2E16">
      <w:pPr>
        <w:rPr>
          <w:sz w:val="24"/>
          <w:szCs w:val="24"/>
        </w:rPr>
      </w:pPr>
      <w:r w:rsidRPr="00792370">
        <w:rPr>
          <w:sz w:val="24"/>
          <w:szCs w:val="24"/>
        </w:rPr>
        <w:t xml:space="preserve">Harrow has not had a stop smoking service for the last two years.  However there has been recent agreement to re-establish a small specialist stop smoking service; one stop smoking advisor (0.6 WTE) offering clinics in the community particularly focusing on high priority population groups such as people with mental health disorders, pregnant women, and those from more deprived areas. In addition Harrow has now signed up to the London-wide stop smoking helpline and promotional initiatives. </w:t>
      </w:r>
    </w:p>
    <w:p w:rsidR="003024DF" w:rsidRPr="00792370" w:rsidRDefault="003024DF" w:rsidP="008E2E16">
      <w:pPr>
        <w:rPr>
          <w:sz w:val="24"/>
          <w:szCs w:val="24"/>
        </w:rPr>
      </w:pPr>
    </w:p>
    <w:p w:rsidR="003024DF" w:rsidRPr="00792370" w:rsidRDefault="003024DF" w:rsidP="008E2E16">
      <w:pPr>
        <w:rPr>
          <w:sz w:val="24"/>
          <w:szCs w:val="24"/>
        </w:rPr>
      </w:pPr>
      <w:r w:rsidRPr="00792370">
        <w:rPr>
          <w:sz w:val="24"/>
          <w:szCs w:val="24"/>
        </w:rPr>
        <w:t xml:space="preserve">The priority for the coming year will be to recruit to this post and re-establish referral routes into this service. </w:t>
      </w:r>
    </w:p>
    <w:p w:rsidR="00F35F01" w:rsidRPr="00792370" w:rsidRDefault="00F35F01" w:rsidP="008E2E16">
      <w:pPr>
        <w:rPr>
          <w:sz w:val="24"/>
          <w:szCs w:val="24"/>
        </w:rPr>
      </w:pPr>
    </w:p>
    <w:p w:rsidR="00E95B48" w:rsidRPr="00792370" w:rsidRDefault="00E95B48" w:rsidP="008E2E16">
      <w:pPr>
        <w:rPr>
          <w:sz w:val="24"/>
          <w:szCs w:val="24"/>
          <w:u w:val="single"/>
        </w:rPr>
      </w:pPr>
      <w:r w:rsidRPr="00792370">
        <w:rPr>
          <w:sz w:val="24"/>
          <w:szCs w:val="24"/>
          <w:u w:val="single"/>
        </w:rPr>
        <w:t>Mental health:</w:t>
      </w:r>
    </w:p>
    <w:p w:rsidR="00E95B48" w:rsidRPr="00792370" w:rsidRDefault="0056183D" w:rsidP="008E2E16">
      <w:pPr>
        <w:rPr>
          <w:sz w:val="24"/>
          <w:szCs w:val="24"/>
        </w:rPr>
      </w:pPr>
      <w:r w:rsidRPr="00792370">
        <w:rPr>
          <w:sz w:val="24"/>
          <w:szCs w:val="24"/>
        </w:rPr>
        <w:t xml:space="preserve">Mental health support is not solely delivered through public health.  Children’s commissioning team commission Harrow Horizons, a tier 2 </w:t>
      </w:r>
      <w:proofErr w:type="gramStart"/>
      <w:r w:rsidRPr="00792370">
        <w:rPr>
          <w:sz w:val="24"/>
          <w:szCs w:val="24"/>
        </w:rPr>
        <w:t>service</w:t>
      </w:r>
      <w:proofErr w:type="gramEnd"/>
      <w:r w:rsidRPr="00792370">
        <w:rPr>
          <w:sz w:val="24"/>
          <w:szCs w:val="24"/>
        </w:rPr>
        <w:t xml:space="preserve"> for children and young people, and the CAMHS service is commissioned through the CCG.  Through public health, Mental Health First Aid </w:t>
      </w:r>
      <w:r w:rsidR="0085786F" w:rsidRPr="00792370">
        <w:rPr>
          <w:sz w:val="24"/>
          <w:szCs w:val="24"/>
        </w:rPr>
        <w:t xml:space="preserve">(MHFA) </w:t>
      </w:r>
      <w:r w:rsidRPr="00792370">
        <w:rPr>
          <w:sz w:val="24"/>
          <w:szCs w:val="24"/>
        </w:rPr>
        <w:t xml:space="preserve">courses are commissioned for people working with both adults and children and young people.  These have been very well received and help break down barriers and increase knowledge around mental health. </w:t>
      </w:r>
    </w:p>
    <w:p w:rsidR="0056183D" w:rsidRPr="00792370" w:rsidRDefault="0056183D" w:rsidP="008E2E16">
      <w:pPr>
        <w:rPr>
          <w:sz w:val="24"/>
          <w:szCs w:val="24"/>
        </w:rPr>
      </w:pPr>
    </w:p>
    <w:p w:rsidR="0056183D" w:rsidRPr="00792370" w:rsidRDefault="0056183D" w:rsidP="008E2E16">
      <w:pPr>
        <w:rPr>
          <w:sz w:val="24"/>
          <w:szCs w:val="24"/>
        </w:rPr>
      </w:pPr>
      <w:r w:rsidRPr="00792370">
        <w:rPr>
          <w:sz w:val="24"/>
          <w:szCs w:val="24"/>
        </w:rPr>
        <w:t xml:space="preserve">Over the coming year there will be more youth </w:t>
      </w:r>
      <w:r w:rsidR="0085786F" w:rsidRPr="00792370">
        <w:rPr>
          <w:sz w:val="24"/>
          <w:szCs w:val="24"/>
        </w:rPr>
        <w:t>MHFA</w:t>
      </w:r>
      <w:r w:rsidRPr="00792370">
        <w:rPr>
          <w:sz w:val="24"/>
          <w:szCs w:val="24"/>
        </w:rPr>
        <w:t xml:space="preserve"> courses run, and work will be undertaken to ensure mental health is built in strategically across the JSNA and the health and wellbeing strategy. </w:t>
      </w:r>
    </w:p>
    <w:p w:rsidR="0056183D" w:rsidRPr="00792370" w:rsidRDefault="0056183D" w:rsidP="008E2E16">
      <w:pPr>
        <w:rPr>
          <w:sz w:val="24"/>
          <w:szCs w:val="24"/>
        </w:rPr>
      </w:pPr>
    </w:p>
    <w:p w:rsidR="0056183D" w:rsidRPr="00792370" w:rsidRDefault="0056183D" w:rsidP="008E2E16">
      <w:pPr>
        <w:rPr>
          <w:sz w:val="24"/>
          <w:szCs w:val="24"/>
          <w:u w:val="single"/>
        </w:rPr>
      </w:pPr>
      <w:r w:rsidRPr="00792370">
        <w:rPr>
          <w:sz w:val="24"/>
          <w:szCs w:val="24"/>
          <w:u w:val="single"/>
        </w:rPr>
        <w:t>Suicide prevention:</w:t>
      </w:r>
    </w:p>
    <w:p w:rsidR="0056183D" w:rsidRDefault="0056183D" w:rsidP="008E2E16">
      <w:pPr>
        <w:rPr>
          <w:szCs w:val="24"/>
        </w:rPr>
      </w:pPr>
      <w:r w:rsidRPr="00792370">
        <w:rPr>
          <w:sz w:val="24"/>
          <w:szCs w:val="24"/>
        </w:rPr>
        <w:t xml:space="preserve">Public health is working collaboratively with the CCG to develop a joint Brent and Harrow suicide prevention plan.  This will be signed off over 2019-20 by a wide stakeholder group, and </w:t>
      </w:r>
      <w:r w:rsidR="0085786F" w:rsidRPr="00792370">
        <w:rPr>
          <w:sz w:val="24"/>
          <w:szCs w:val="24"/>
        </w:rPr>
        <w:t>two</w:t>
      </w:r>
      <w:r w:rsidRPr="00792370">
        <w:rPr>
          <w:sz w:val="24"/>
          <w:szCs w:val="24"/>
        </w:rPr>
        <w:t xml:space="preserve"> key areas for action </w:t>
      </w:r>
      <w:r w:rsidR="0085786F" w:rsidRPr="00792370">
        <w:rPr>
          <w:sz w:val="24"/>
          <w:szCs w:val="24"/>
        </w:rPr>
        <w:t>will be agreed</w:t>
      </w:r>
      <w:r w:rsidRPr="00792370">
        <w:rPr>
          <w:sz w:val="24"/>
          <w:szCs w:val="24"/>
        </w:rPr>
        <w:t xml:space="preserve"> and </w:t>
      </w:r>
      <w:r w:rsidR="0085786F" w:rsidRPr="00792370">
        <w:rPr>
          <w:sz w:val="24"/>
          <w:szCs w:val="24"/>
        </w:rPr>
        <w:t xml:space="preserve">plans </w:t>
      </w:r>
      <w:r w:rsidRPr="00792370">
        <w:rPr>
          <w:sz w:val="24"/>
          <w:szCs w:val="24"/>
        </w:rPr>
        <w:t>developed through a working group.</w:t>
      </w:r>
      <w:r>
        <w:rPr>
          <w:szCs w:val="24"/>
        </w:rPr>
        <w:t xml:space="preserve"> </w:t>
      </w:r>
    </w:p>
    <w:p w:rsidR="0056183D" w:rsidRDefault="0056183D" w:rsidP="008E2E16">
      <w:pPr>
        <w:rPr>
          <w:szCs w:val="24"/>
        </w:rPr>
      </w:pPr>
    </w:p>
    <w:p w:rsidR="00792370" w:rsidRDefault="00792370" w:rsidP="008E2E16">
      <w:pPr>
        <w:rPr>
          <w:szCs w:val="24"/>
        </w:rPr>
      </w:pPr>
    </w:p>
    <w:p w:rsidR="00792370" w:rsidRDefault="00792370" w:rsidP="008E2E16">
      <w:pPr>
        <w:rPr>
          <w:szCs w:val="24"/>
        </w:rPr>
      </w:pPr>
    </w:p>
    <w:p w:rsidR="00792370" w:rsidRDefault="00792370" w:rsidP="008E2E16">
      <w:pPr>
        <w:rPr>
          <w:szCs w:val="24"/>
        </w:rPr>
      </w:pPr>
    </w:p>
    <w:p w:rsidR="0056183D" w:rsidRPr="00792370" w:rsidRDefault="0056183D" w:rsidP="0056183D">
      <w:pPr>
        <w:pStyle w:val="ListParagraph"/>
        <w:numPr>
          <w:ilvl w:val="0"/>
          <w:numId w:val="43"/>
        </w:numPr>
        <w:ind w:left="426" w:hanging="426"/>
        <w:rPr>
          <w:b/>
          <w:sz w:val="24"/>
          <w:szCs w:val="24"/>
        </w:rPr>
      </w:pPr>
      <w:r w:rsidRPr="00792370">
        <w:rPr>
          <w:b/>
          <w:sz w:val="24"/>
          <w:szCs w:val="24"/>
        </w:rPr>
        <w:lastRenderedPageBreak/>
        <w:t>Wider determinants of health</w:t>
      </w:r>
    </w:p>
    <w:p w:rsidR="005E2897" w:rsidRPr="00953226" w:rsidRDefault="005E2897" w:rsidP="005E2897">
      <w:pPr>
        <w:pStyle w:val="ListParagraph"/>
        <w:ind w:left="426"/>
        <w:rPr>
          <w:b/>
          <w:szCs w:val="24"/>
        </w:rPr>
      </w:pPr>
    </w:p>
    <w:p w:rsidR="0056183D" w:rsidRPr="00792370" w:rsidRDefault="0056183D" w:rsidP="0056183D">
      <w:pPr>
        <w:rPr>
          <w:sz w:val="24"/>
          <w:szCs w:val="24"/>
        </w:rPr>
      </w:pPr>
      <w:proofErr w:type="gramStart"/>
      <w:r w:rsidRPr="00792370">
        <w:rPr>
          <w:sz w:val="24"/>
          <w:szCs w:val="24"/>
        </w:rPr>
        <w:t>Over 2019-20 public health will continue to contribute to wider council initiatives that address the wider determinants of health</w:t>
      </w:r>
      <w:r w:rsidR="001606E9" w:rsidRPr="00792370">
        <w:rPr>
          <w:sz w:val="24"/>
          <w:szCs w:val="24"/>
        </w:rPr>
        <w:t xml:space="preserve"> (as shown in Table 1)</w:t>
      </w:r>
      <w:r w:rsidRPr="00792370">
        <w:rPr>
          <w:sz w:val="24"/>
          <w:szCs w:val="24"/>
        </w:rPr>
        <w:t>.</w:t>
      </w:r>
      <w:proofErr w:type="gramEnd"/>
      <w:r w:rsidRPr="00792370">
        <w:rPr>
          <w:sz w:val="24"/>
          <w:szCs w:val="24"/>
        </w:rPr>
        <w:t xml:space="preserve"> </w:t>
      </w:r>
      <w:r w:rsidR="001606E9" w:rsidRPr="00792370">
        <w:rPr>
          <w:sz w:val="24"/>
          <w:szCs w:val="24"/>
        </w:rPr>
        <w:t xml:space="preserve"> It will be important that these programmes have identifiable public health outcomes so that they meet the grant conditions.</w:t>
      </w:r>
    </w:p>
    <w:p w:rsidR="003024DF" w:rsidRPr="00792370" w:rsidRDefault="003024DF" w:rsidP="0056183D">
      <w:pPr>
        <w:rPr>
          <w:sz w:val="24"/>
          <w:szCs w:val="24"/>
        </w:rPr>
      </w:pPr>
    </w:p>
    <w:p w:rsidR="00712F6D" w:rsidRPr="00792370" w:rsidRDefault="003024DF" w:rsidP="00712F6D">
      <w:pPr>
        <w:rPr>
          <w:sz w:val="24"/>
          <w:szCs w:val="24"/>
          <w:lang w:val="en"/>
        </w:rPr>
      </w:pPr>
      <w:r w:rsidRPr="00792370">
        <w:rPr>
          <w:sz w:val="24"/>
          <w:szCs w:val="24"/>
        </w:rPr>
        <w:t xml:space="preserve">In addition to the public health grant spend described above, a </w:t>
      </w:r>
      <w:r w:rsidR="00791F32" w:rsidRPr="00792370">
        <w:rPr>
          <w:sz w:val="24"/>
          <w:szCs w:val="24"/>
        </w:rPr>
        <w:t xml:space="preserve">priority for 2019-20 is to develop how public health is considered and approached across the council, across all services.  </w:t>
      </w:r>
      <w:r w:rsidR="00712F6D" w:rsidRPr="00792370">
        <w:rPr>
          <w:sz w:val="24"/>
          <w:szCs w:val="24"/>
        </w:rPr>
        <w:t xml:space="preserve">This </w:t>
      </w:r>
      <w:r w:rsidR="00712F6D" w:rsidRPr="00792370">
        <w:rPr>
          <w:sz w:val="24"/>
          <w:szCs w:val="24"/>
          <w:lang w:val="en"/>
        </w:rPr>
        <w:t>Health in All Policies (</w:t>
      </w:r>
      <w:proofErr w:type="spellStart"/>
      <w:r w:rsidR="00712F6D" w:rsidRPr="00792370">
        <w:rPr>
          <w:sz w:val="24"/>
          <w:szCs w:val="24"/>
          <w:lang w:val="en"/>
        </w:rPr>
        <w:t>HiAP</w:t>
      </w:r>
      <w:proofErr w:type="spellEnd"/>
      <w:r w:rsidR="00712F6D" w:rsidRPr="00792370">
        <w:rPr>
          <w:sz w:val="24"/>
          <w:szCs w:val="24"/>
          <w:lang w:val="en"/>
        </w:rPr>
        <w:t>) approach systematically and explicitly takes into account the health implications of the decisions we make as a council; targets the key social determinants of health; looks for synergies between health and other core objectives and the work we do with partners; and tries to avoid causing harm with the aim of improving the health of the population and reducing inequity.</w:t>
      </w:r>
    </w:p>
    <w:p w:rsidR="00712F6D" w:rsidRPr="00792370" w:rsidRDefault="00712F6D" w:rsidP="00712F6D">
      <w:pPr>
        <w:rPr>
          <w:sz w:val="24"/>
          <w:szCs w:val="24"/>
        </w:rPr>
      </w:pPr>
    </w:p>
    <w:p w:rsidR="003024DF" w:rsidRPr="00792370" w:rsidRDefault="00791F32" w:rsidP="0056183D">
      <w:pPr>
        <w:rPr>
          <w:sz w:val="24"/>
          <w:szCs w:val="24"/>
        </w:rPr>
      </w:pPr>
      <w:r w:rsidRPr="00792370">
        <w:rPr>
          <w:sz w:val="24"/>
          <w:szCs w:val="24"/>
        </w:rPr>
        <w:t xml:space="preserve">For example, transport strategies that relate to active travel and community safety have an impact on health and wellbeing, improving unemployment and economic development impacts on wellbeing, community cohesion impacts on wellbeing, regeneration and development can have a huge impact on wellbeing.  It is important that opportunities to enhance health and wellbeing of the Harrow population are considered across strategies.  </w:t>
      </w:r>
    </w:p>
    <w:p w:rsidR="00791F32" w:rsidRPr="00792370" w:rsidRDefault="00791F32" w:rsidP="0056183D">
      <w:pPr>
        <w:rPr>
          <w:sz w:val="24"/>
          <w:szCs w:val="24"/>
        </w:rPr>
      </w:pPr>
    </w:p>
    <w:p w:rsidR="00791F32" w:rsidRPr="00792370" w:rsidRDefault="00791F32" w:rsidP="0056183D">
      <w:pPr>
        <w:rPr>
          <w:sz w:val="24"/>
          <w:szCs w:val="24"/>
        </w:rPr>
      </w:pPr>
      <w:r w:rsidRPr="00792370">
        <w:rPr>
          <w:sz w:val="24"/>
          <w:szCs w:val="24"/>
        </w:rPr>
        <w:t xml:space="preserve">Work is underway already in linking in to transport in the Active Harrow </w:t>
      </w:r>
      <w:proofErr w:type="spellStart"/>
      <w:r w:rsidRPr="00792370">
        <w:rPr>
          <w:sz w:val="24"/>
          <w:szCs w:val="24"/>
        </w:rPr>
        <w:t>workstream</w:t>
      </w:r>
      <w:proofErr w:type="spellEnd"/>
      <w:r w:rsidRPr="00792370">
        <w:rPr>
          <w:sz w:val="24"/>
          <w:szCs w:val="24"/>
        </w:rPr>
        <w:t xml:space="preserve">, and in discussion of approaches to health impact assessments in planning processes.  Further strengthening and development across these areas is priority for 2019-20. </w:t>
      </w:r>
    </w:p>
    <w:p w:rsidR="00791F32" w:rsidRPr="00792370" w:rsidRDefault="00791F32" w:rsidP="0056183D">
      <w:pPr>
        <w:rPr>
          <w:sz w:val="24"/>
          <w:szCs w:val="24"/>
        </w:rPr>
      </w:pPr>
    </w:p>
    <w:p w:rsidR="00791F32" w:rsidRPr="00792370" w:rsidRDefault="00791F32" w:rsidP="0056183D">
      <w:pPr>
        <w:rPr>
          <w:sz w:val="24"/>
          <w:szCs w:val="24"/>
        </w:rPr>
      </w:pPr>
      <w:r w:rsidRPr="00792370">
        <w:rPr>
          <w:sz w:val="24"/>
          <w:szCs w:val="24"/>
        </w:rPr>
        <w:t xml:space="preserve">Harrow is also </w:t>
      </w:r>
      <w:proofErr w:type="gramStart"/>
      <w:r w:rsidRPr="00792370">
        <w:rPr>
          <w:sz w:val="24"/>
          <w:szCs w:val="24"/>
        </w:rPr>
        <w:t>pilot</w:t>
      </w:r>
      <w:proofErr w:type="gramEnd"/>
      <w:r w:rsidRPr="00792370">
        <w:rPr>
          <w:sz w:val="24"/>
          <w:szCs w:val="24"/>
        </w:rPr>
        <w:t xml:space="preserve"> for a “</w:t>
      </w:r>
      <w:proofErr w:type="spellStart"/>
      <w:r w:rsidRPr="00792370">
        <w:rPr>
          <w:sz w:val="24"/>
          <w:szCs w:val="24"/>
        </w:rPr>
        <w:t>Superzone</w:t>
      </w:r>
      <w:proofErr w:type="spellEnd"/>
      <w:r w:rsidRPr="00792370">
        <w:rPr>
          <w:sz w:val="24"/>
          <w:szCs w:val="24"/>
        </w:rPr>
        <w:t>” around a school in Wealdstone – looking at factors in the wider environment that impact on health and wellbeing in a radius around the school.  Consultation has taken place with parents and staff and issues around congestion, safety, and healthy eating were raised.  Work is underway looking at enforcement around the congestion zone, investigating walking buses, promoting active travel, and healthier takeaway programme.</w:t>
      </w:r>
    </w:p>
    <w:p w:rsidR="00791F32" w:rsidRPr="00792370" w:rsidRDefault="00791F32" w:rsidP="0056183D">
      <w:pPr>
        <w:rPr>
          <w:sz w:val="24"/>
          <w:szCs w:val="24"/>
        </w:rPr>
      </w:pPr>
    </w:p>
    <w:p w:rsidR="00791F32" w:rsidRPr="00792370" w:rsidRDefault="00791F32" w:rsidP="00791F32">
      <w:pPr>
        <w:pStyle w:val="ListParagraph"/>
        <w:numPr>
          <w:ilvl w:val="0"/>
          <w:numId w:val="43"/>
        </w:numPr>
        <w:ind w:left="426" w:hanging="426"/>
        <w:rPr>
          <w:b/>
          <w:sz w:val="24"/>
          <w:szCs w:val="24"/>
        </w:rPr>
      </w:pPr>
      <w:r w:rsidRPr="00792370">
        <w:rPr>
          <w:b/>
          <w:sz w:val="24"/>
          <w:szCs w:val="24"/>
        </w:rPr>
        <w:t>Health care public health</w:t>
      </w:r>
    </w:p>
    <w:p w:rsidR="005E2897" w:rsidRPr="005E2897" w:rsidRDefault="005E2897" w:rsidP="005E2897">
      <w:pPr>
        <w:rPr>
          <w:b/>
          <w:szCs w:val="24"/>
        </w:rPr>
      </w:pPr>
    </w:p>
    <w:p w:rsidR="00791F32" w:rsidRPr="00792370" w:rsidRDefault="00791F32" w:rsidP="00791F32">
      <w:pPr>
        <w:rPr>
          <w:sz w:val="24"/>
          <w:szCs w:val="24"/>
          <w:u w:val="single"/>
        </w:rPr>
      </w:pPr>
      <w:r w:rsidRPr="00792370">
        <w:rPr>
          <w:sz w:val="24"/>
          <w:szCs w:val="24"/>
          <w:u w:val="single"/>
        </w:rPr>
        <w:t>Integration</w:t>
      </w:r>
      <w:r w:rsidR="00383882" w:rsidRPr="00792370">
        <w:rPr>
          <w:sz w:val="24"/>
          <w:szCs w:val="24"/>
          <w:u w:val="single"/>
        </w:rPr>
        <w:t xml:space="preserve"> and population health</w:t>
      </w:r>
      <w:r w:rsidRPr="00792370">
        <w:rPr>
          <w:sz w:val="24"/>
          <w:szCs w:val="24"/>
          <w:u w:val="single"/>
        </w:rPr>
        <w:t>:</w:t>
      </w:r>
    </w:p>
    <w:p w:rsidR="00791F32" w:rsidRPr="00792370" w:rsidRDefault="00791F32" w:rsidP="00791F32">
      <w:pPr>
        <w:rPr>
          <w:sz w:val="24"/>
          <w:szCs w:val="24"/>
        </w:rPr>
      </w:pPr>
      <w:r w:rsidRPr="00792370">
        <w:rPr>
          <w:sz w:val="24"/>
          <w:szCs w:val="24"/>
        </w:rPr>
        <w:t>Public health is working with the CCG supporting the integration work</w:t>
      </w:r>
      <w:r w:rsidR="00A54A7E" w:rsidRPr="00792370">
        <w:rPr>
          <w:sz w:val="24"/>
          <w:szCs w:val="24"/>
        </w:rPr>
        <w:t xml:space="preserve"> with a focus on </w:t>
      </w:r>
      <w:r w:rsidRPr="00792370">
        <w:rPr>
          <w:sz w:val="24"/>
          <w:szCs w:val="24"/>
        </w:rPr>
        <w:t xml:space="preserve">the working groups on dementia and on community mental health.  Going forward, as the governance of the Integrated Care Partnership </w:t>
      </w:r>
      <w:proofErr w:type="gramStart"/>
      <w:r w:rsidRPr="00792370">
        <w:rPr>
          <w:sz w:val="24"/>
          <w:szCs w:val="24"/>
        </w:rPr>
        <w:t>develops,</w:t>
      </w:r>
      <w:proofErr w:type="gramEnd"/>
      <w:r w:rsidRPr="00792370">
        <w:rPr>
          <w:sz w:val="24"/>
          <w:szCs w:val="24"/>
        </w:rPr>
        <w:t xml:space="preserve"> public health will lead the population health</w:t>
      </w:r>
      <w:r w:rsidR="00383882" w:rsidRPr="00792370">
        <w:rPr>
          <w:sz w:val="24"/>
          <w:szCs w:val="24"/>
        </w:rPr>
        <w:t xml:space="preserve"> management</w:t>
      </w:r>
      <w:r w:rsidRPr="00792370">
        <w:rPr>
          <w:sz w:val="24"/>
          <w:szCs w:val="24"/>
        </w:rPr>
        <w:t xml:space="preserve"> agenda. </w:t>
      </w:r>
    </w:p>
    <w:p w:rsidR="00791F32" w:rsidRPr="00792370" w:rsidRDefault="00791F32" w:rsidP="00791F32">
      <w:pPr>
        <w:rPr>
          <w:sz w:val="24"/>
          <w:szCs w:val="24"/>
        </w:rPr>
      </w:pPr>
    </w:p>
    <w:p w:rsidR="00791F32" w:rsidRPr="00792370" w:rsidRDefault="00791F32" w:rsidP="00791F32">
      <w:pPr>
        <w:rPr>
          <w:sz w:val="24"/>
          <w:szCs w:val="24"/>
          <w:u w:val="single"/>
        </w:rPr>
      </w:pPr>
      <w:r w:rsidRPr="00792370">
        <w:rPr>
          <w:sz w:val="24"/>
          <w:szCs w:val="24"/>
          <w:u w:val="single"/>
        </w:rPr>
        <w:t>Social Prescribing:</w:t>
      </w:r>
    </w:p>
    <w:p w:rsidR="00791F32" w:rsidRPr="00792370" w:rsidRDefault="00791F32" w:rsidP="00791F32">
      <w:pPr>
        <w:rPr>
          <w:sz w:val="24"/>
          <w:szCs w:val="24"/>
        </w:rPr>
      </w:pPr>
      <w:r w:rsidRPr="00792370">
        <w:rPr>
          <w:sz w:val="24"/>
          <w:szCs w:val="24"/>
        </w:rPr>
        <w:t xml:space="preserve">Public health are leading the development of a social prescribing offer for Harrow, working in partnership with the CCG.  The proposal involves the social prescribing link workers from each Primary Care Network becoming part of a Harrow-wide social prescribing offer – with a digital solution and coordinator funded by public health.  </w:t>
      </w:r>
      <w:r w:rsidR="00814955" w:rsidRPr="00792370">
        <w:rPr>
          <w:sz w:val="24"/>
          <w:szCs w:val="24"/>
        </w:rPr>
        <w:t>This</w:t>
      </w:r>
      <w:r w:rsidRPr="00792370">
        <w:rPr>
          <w:sz w:val="24"/>
          <w:szCs w:val="24"/>
        </w:rPr>
        <w:t xml:space="preserve"> work is a key priority for the coming year. </w:t>
      </w:r>
    </w:p>
    <w:p w:rsidR="00791F32" w:rsidRPr="00792370" w:rsidRDefault="00791F32" w:rsidP="00791F32">
      <w:pPr>
        <w:rPr>
          <w:sz w:val="24"/>
          <w:szCs w:val="24"/>
        </w:rPr>
      </w:pPr>
    </w:p>
    <w:p w:rsidR="00C32DFF" w:rsidRPr="00792370" w:rsidRDefault="00791F32" w:rsidP="00791F32">
      <w:pPr>
        <w:rPr>
          <w:sz w:val="24"/>
          <w:szCs w:val="24"/>
          <w:u w:val="single"/>
        </w:rPr>
      </w:pPr>
      <w:r w:rsidRPr="00792370">
        <w:rPr>
          <w:sz w:val="24"/>
          <w:szCs w:val="24"/>
          <w:u w:val="single"/>
        </w:rPr>
        <w:t>The Expert Patient Programme</w:t>
      </w:r>
      <w:r w:rsidR="00C32DFF" w:rsidRPr="00792370">
        <w:rPr>
          <w:sz w:val="24"/>
          <w:szCs w:val="24"/>
          <w:u w:val="single"/>
        </w:rPr>
        <w:t>:</w:t>
      </w:r>
    </w:p>
    <w:p w:rsidR="00791F32" w:rsidRPr="00792370" w:rsidRDefault="00C32DFF" w:rsidP="00791F32">
      <w:pPr>
        <w:rPr>
          <w:sz w:val="24"/>
          <w:szCs w:val="24"/>
        </w:rPr>
      </w:pPr>
      <w:r w:rsidRPr="00792370">
        <w:rPr>
          <w:sz w:val="24"/>
          <w:szCs w:val="24"/>
        </w:rPr>
        <w:t>This programme</w:t>
      </w:r>
      <w:r w:rsidR="00791F32" w:rsidRPr="00792370">
        <w:rPr>
          <w:sz w:val="24"/>
          <w:szCs w:val="24"/>
        </w:rPr>
        <w:t xml:space="preserve"> provides peer-led support for individuals with long term conditions</w:t>
      </w:r>
      <w:r w:rsidRPr="00792370">
        <w:rPr>
          <w:sz w:val="24"/>
          <w:szCs w:val="24"/>
        </w:rPr>
        <w:t xml:space="preserve">.  It </w:t>
      </w:r>
      <w:r w:rsidR="00791F32" w:rsidRPr="00792370">
        <w:rPr>
          <w:sz w:val="24"/>
          <w:szCs w:val="24"/>
        </w:rPr>
        <w:t xml:space="preserve">is being re-established this year, and will be a key service that can be referred to via a social prescribing service. </w:t>
      </w:r>
    </w:p>
    <w:p w:rsidR="00791F32" w:rsidRPr="00792370" w:rsidRDefault="00791F32" w:rsidP="00791F32">
      <w:pPr>
        <w:rPr>
          <w:sz w:val="24"/>
          <w:szCs w:val="24"/>
        </w:rPr>
      </w:pPr>
    </w:p>
    <w:p w:rsidR="00791F32" w:rsidRPr="00792370" w:rsidRDefault="006A03DE" w:rsidP="006A03DE">
      <w:pPr>
        <w:pStyle w:val="ListParagraph"/>
        <w:numPr>
          <w:ilvl w:val="0"/>
          <w:numId w:val="43"/>
        </w:numPr>
        <w:ind w:left="426" w:hanging="426"/>
        <w:rPr>
          <w:b/>
          <w:sz w:val="24"/>
          <w:szCs w:val="24"/>
        </w:rPr>
      </w:pPr>
      <w:r w:rsidRPr="00792370">
        <w:rPr>
          <w:b/>
          <w:sz w:val="24"/>
          <w:szCs w:val="24"/>
        </w:rPr>
        <w:lastRenderedPageBreak/>
        <w:t>Health protection</w:t>
      </w:r>
    </w:p>
    <w:p w:rsidR="006A03DE" w:rsidRPr="00792370" w:rsidRDefault="006A03DE" w:rsidP="006A03DE">
      <w:pPr>
        <w:rPr>
          <w:sz w:val="24"/>
          <w:szCs w:val="24"/>
        </w:rPr>
      </w:pPr>
      <w:r w:rsidRPr="00792370">
        <w:rPr>
          <w:sz w:val="24"/>
          <w:szCs w:val="24"/>
        </w:rPr>
        <w:t xml:space="preserve">A priority for this year going forward is to establish a Harrow Health Protection Board.  This will provide robust assurance for outbreaks and cases of infectious </w:t>
      </w:r>
      <w:proofErr w:type="gramStart"/>
      <w:r w:rsidRPr="00792370">
        <w:rPr>
          <w:sz w:val="24"/>
          <w:szCs w:val="24"/>
        </w:rPr>
        <w:t>diseases,</w:t>
      </w:r>
      <w:proofErr w:type="gramEnd"/>
      <w:r w:rsidRPr="00792370">
        <w:rPr>
          <w:sz w:val="24"/>
          <w:szCs w:val="24"/>
        </w:rPr>
        <w:t xml:space="preserve"> provide oversight of immunisation programme uptake, and assurance of </w:t>
      </w:r>
      <w:r w:rsidR="00A54A7E" w:rsidRPr="00792370">
        <w:rPr>
          <w:sz w:val="24"/>
          <w:szCs w:val="24"/>
        </w:rPr>
        <w:t xml:space="preserve">seasonal and pandemic </w:t>
      </w:r>
      <w:r w:rsidRPr="00792370">
        <w:rPr>
          <w:sz w:val="24"/>
          <w:szCs w:val="24"/>
        </w:rPr>
        <w:t xml:space="preserve">flu plans. </w:t>
      </w:r>
    </w:p>
    <w:p w:rsidR="006A03DE" w:rsidRPr="00792370" w:rsidRDefault="006A03DE" w:rsidP="006A03DE">
      <w:pPr>
        <w:rPr>
          <w:sz w:val="24"/>
          <w:szCs w:val="24"/>
        </w:rPr>
      </w:pPr>
    </w:p>
    <w:p w:rsidR="006A03DE" w:rsidRPr="00792370" w:rsidRDefault="006A03DE" w:rsidP="006A03DE">
      <w:pPr>
        <w:pStyle w:val="ListParagraph"/>
        <w:numPr>
          <w:ilvl w:val="0"/>
          <w:numId w:val="43"/>
        </w:numPr>
        <w:ind w:left="426" w:hanging="426"/>
        <w:rPr>
          <w:b/>
          <w:sz w:val="24"/>
          <w:szCs w:val="24"/>
        </w:rPr>
      </w:pPr>
      <w:r w:rsidRPr="00792370">
        <w:rPr>
          <w:b/>
          <w:sz w:val="24"/>
          <w:szCs w:val="24"/>
        </w:rPr>
        <w:t>Health intelligence</w:t>
      </w:r>
    </w:p>
    <w:p w:rsidR="006A03DE" w:rsidRPr="00792370" w:rsidRDefault="006A03DE" w:rsidP="006A03DE">
      <w:pPr>
        <w:rPr>
          <w:sz w:val="24"/>
          <w:szCs w:val="24"/>
        </w:rPr>
      </w:pPr>
      <w:r w:rsidRPr="00792370">
        <w:rPr>
          <w:sz w:val="24"/>
          <w:szCs w:val="24"/>
        </w:rPr>
        <w:t xml:space="preserve">The priority for 2019-20 around health intelligence is development of the JSNA, as described above.  This will be </w:t>
      </w:r>
      <w:proofErr w:type="gramStart"/>
      <w:r w:rsidRPr="00792370">
        <w:rPr>
          <w:sz w:val="24"/>
          <w:szCs w:val="24"/>
        </w:rPr>
        <w:t>key</w:t>
      </w:r>
      <w:proofErr w:type="gramEnd"/>
      <w:r w:rsidRPr="00792370">
        <w:rPr>
          <w:sz w:val="24"/>
          <w:szCs w:val="24"/>
        </w:rPr>
        <w:t xml:space="preserve"> for Harrow-wide intelligence and priority setting</w:t>
      </w:r>
      <w:r w:rsidR="00814955" w:rsidRPr="00792370">
        <w:rPr>
          <w:sz w:val="24"/>
          <w:szCs w:val="24"/>
        </w:rPr>
        <w:t xml:space="preserve"> and will form the basis of a rolling programme of intelligence updates in the coming years</w:t>
      </w:r>
      <w:r w:rsidRPr="00792370">
        <w:rPr>
          <w:sz w:val="24"/>
          <w:szCs w:val="24"/>
        </w:rPr>
        <w:t>.</w:t>
      </w:r>
      <w:r w:rsidR="00814955" w:rsidRPr="00792370">
        <w:rPr>
          <w:sz w:val="24"/>
          <w:szCs w:val="24"/>
        </w:rPr>
        <w:t xml:space="preserve">  The purpose of the health intelligence function is to assess health needs within the population and identify health inequalities and their causes. </w:t>
      </w:r>
      <w:r w:rsidRPr="00792370">
        <w:rPr>
          <w:sz w:val="24"/>
          <w:szCs w:val="24"/>
        </w:rPr>
        <w:t xml:space="preserve"> </w:t>
      </w:r>
    </w:p>
    <w:p w:rsidR="006A03DE" w:rsidRPr="00792370" w:rsidRDefault="006A03DE" w:rsidP="006A03DE">
      <w:pPr>
        <w:rPr>
          <w:sz w:val="24"/>
          <w:szCs w:val="24"/>
        </w:rPr>
      </w:pPr>
    </w:p>
    <w:p w:rsidR="004E104D" w:rsidRDefault="004E104D">
      <w:pPr>
        <w:pStyle w:val="Heading2"/>
      </w:pPr>
      <w:r>
        <w:t>Ward Councillors’ comments</w:t>
      </w:r>
    </w:p>
    <w:p w:rsidR="00DA38BD" w:rsidRDefault="00C32DFF" w:rsidP="00DA38BD">
      <w:r>
        <w:t>None requested.</w:t>
      </w:r>
    </w:p>
    <w:p w:rsidR="00C32DFF" w:rsidRDefault="00C32DFF" w:rsidP="00DA38BD"/>
    <w:p w:rsidR="005441BD" w:rsidRDefault="005441BD">
      <w:pPr>
        <w:pStyle w:val="Heading2"/>
      </w:pPr>
      <w:r>
        <w:t>Financial Implications</w:t>
      </w:r>
    </w:p>
    <w:p w:rsidR="001606E9" w:rsidRDefault="001606E9" w:rsidP="001606E9"/>
    <w:p w:rsidR="001606E9" w:rsidRPr="00792370" w:rsidRDefault="001606E9" w:rsidP="001606E9">
      <w:pPr>
        <w:rPr>
          <w:sz w:val="24"/>
          <w:szCs w:val="24"/>
        </w:rPr>
      </w:pPr>
      <w:r w:rsidRPr="00792370">
        <w:rPr>
          <w:sz w:val="24"/>
          <w:szCs w:val="24"/>
        </w:rPr>
        <w:t xml:space="preserve">Local authorities receive an annual ring-fenced public health grant from the Department of Health. The core condition of this grant is that it should be used only for the purposes of the public health functions of local authorities. The ring fenced grant is confirmed until March 2020 at which point the ring-fence may be lifted.  The annual Public Health allocation has been reducing yearly.  In 2018-19, the allocation was £10.808M and in 2019-20 is £10.523M.  </w:t>
      </w:r>
    </w:p>
    <w:p w:rsidR="001606E9" w:rsidRPr="00792370" w:rsidRDefault="001606E9" w:rsidP="001606E9">
      <w:pPr>
        <w:rPr>
          <w:sz w:val="24"/>
          <w:szCs w:val="24"/>
        </w:rPr>
      </w:pPr>
    </w:p>
    <w:p w:rsidR="001606E9" w:rsidRPr="00792370" w:rsidRDefault="001606E9" w:rsidP="001606E9">
      <w:pPr>
        <w:rPr>
          <w:sz w:val="24"/>
          <w:szCs w:val="24"/>
        </w:rPr>
      </w:pPr>
      <w:r w:rsidRPr="00792370">
        <w:rPr>
          <w:sz w:val="24"/>
          <w:szCs w:val="24"/>
        </w:rPr>
        <w:t>Currently the grant is used to fund:</w:t>
      </w:r>
    </w:p>
    <w:p w:rsidR="001606E9" w:rsidRPr="00792370" w:rsidRDefault="001606E9" w:rsidP="001606E9">
      <w:pPr>
        <w:pStyle w:val="ListParagraph"/>
        <w:numPr>
          <w:ilvl w:val="0"/>
          <w:numId w:val="45"/>
        </w:numPr>
        <w:rPr>
          <w:sz w:val="24"/>
          <w:szCs w:val="24"/>
        </w:rPr>
      </w:pPr>
      <w:r w:rsidRPr="00792370">
        <w:rPr>
          <w:sz w:val="24"/>
          <w:szCs w:val="24"/>
        </w:rPr>
        <w:t>Staffing:  Core team (Director of Public Health (0.6 WTE); Consultant in Public Health (1WTE); PH Strategists (1.6 WTE); PH Commissioners (2 WTE); PH Analyst (0.8WTE); Commissioning Support officers (2 WTE)).  Additional staffing to support the DPH functions that relate to prevention, planning for, and responding to, emergencies involving a risk to public health and funding for 0.2 WTE Child Death Overview Panel Support (provided by CCG) to support the Harrow Safeguarding Children’s Board’ responsibility.</w:t>
      </w:r>
    </w:p>
    <w:p w:rsidR="001606E9" w:rsidRPr="00792370" w:rsidRDefault="001606E9" w:rsidP="001606E9">
      <w:pPr>
        <w:pStyle w:val="ListParagraph"/>
        <w:numPr>
          <w:ilvl w:val="0"/>
          <w:numId w:val="45"/>
        </w:numPr>
        <w:rPr>
          <w:sz w:val="24"/>
          <w:szCs w:val="24"/>
        </w:rPr>
      </w:pPr>
      <w:r w:rsidRPr="00792370">
        <w:rPr>
          <w:sz w:val="24"/>
          <w:szCs w:val="24"/>
        </w:rPr>
        <w:t>Commissioned services:   including the mandated services for sexual health, NHS health checks, and 0-19 services (health visiting and school nursing including the National Child Measurement Programme), and a non-mandated but necessary service to treat those with substance misuse problems.</w:t>
      </w:r>
    </w:p>
    <w:p w:rsidR="001606E9" w:rsidRPr="00792370" w:rsidRDefault="001606E9" w:rsidP="001606E9">
      <w:pPr>
        <w:numPr>
          <w:ilvl w:val="0"/>
          <w:numId w:val="45"/>
        </w:numPr>
        <w:rPr>
          <w:sz w:val="24"/>
          <w:szCs w:val="24"/>
        </w:rPr>
      </w:pPr>
      <w:r w:rsidRPr="00792370">
        <w:rPr>
          <w:sz w:val="24"/>
          <w:szCs w:val="24"/>
        </w:rPr>
        <w:t>Health improvement and prevention activity</w:t>
      </w:r>
    </w:p>
    <w:p w:rsidR="001606E9" w:rsidRPr="00792370" w:rsidRDefault="001606E9" w:rsidP="001606E9">
      <w:pPr>
        <w:numPr>
          <w:ilvl w:val="0"/>
          <w:numId w:val="45"/>
        </w:numPr>
        <w:rPr>
          <w:sz w:val="24"/>
          <w:szCs w:val="24"/>
        </w:rPr>
      </w:pPr>
      <w:r w:rsidRPr="00792370">
        <w:rPr>
          <w:sz w:val="24"/>
          <w:szCs w:val="24"/>
        </w:rPr>
        <w:t xml:space="preserve">Activity to tackle the wider determinants of health across the council beyond the public health team.  This includes contributing to the funding for children’s centres, adult social care prevention activity, and strengthening employment support.  In 2017-18, around £900k was spent on wider determinants.  This allocation increased to £1.7M in 2018-19 and was further enhanced by savings made on the sexual health budget </w:t>
      </w:r>
      <w:r w:rsidR="002C1BFE" w:rsidRPr="00792370">
        <w:rPr>
          <w:sz w:val="24"/>
          <w:szCs w:val="24"/>
        </w:rPr>
        <w:t xml:space="preserve">(net of the requirement to fund the grant reduction) </w:t>
      </w:r>
      <w:r w:rsidRPr="00792370">
        <w:rPr>
          <w:sz w:val="24"/>
          <w:szCs w:val="24"/>
        </w:rPr>
        <w:t>so actual s</w:t>
      </w:r>
      <w:r w:rsidR="002C1BFE" w:rsidRPr="00792370">
        <w:rPr>
          <w:sz w:val="24"/>
          <w:szCs w:val="24"/>
        </w:rPr>
        <w:t>p</w:t>
      </w:r>
      <w:r w:rsidRPr="00792370">
        <w:rPr>
          <w:sz w:val="24"/>
          <w:szCs w:val="24"/>
        </w:rPr>
        <w:t>end was £</w:t>
      </w:r>
      <w:r w:rsidR="002C1BFE" w:rsidRPr="00792370">
        <w:rPr>
          <w:sz w:val="24"/>
          <w:szCs w:val="24"/>
        </w:rPr>
        <w:t>1.9</w:t>
      </w:r>
      <w:r w:rsidRPr="00792370">
        <w:rPr>
          <w:sz w:val="24"/>
          <w:szCs w:val="24"/>
        </w:rPr>
        <w:t>M.  The allocation to wider determinants has increased to £</w:t>
      </w:r>
      <w:r w:rsidR="002C1BFE" w:rsidRPr="00792370">
        <w:rPr>
          <w:sz w:val="24"/>
          <w:szCs w:val="24"/>
        </w:rPr>
        <w:t>2.</w:t>
      </w:r>
      <w:r w:rsidRPr="00792370">
        <w:rPr>
          <w:sz w:val="24"/>
          <w:szCs w:val="24"/>
        </w:rPr>
        <w:t>1M in 2019-20</w:t>
      </w:r>
      <w:r w:rsidR="002C1BFE" w:rsidRPr="00792370">
        <w:rPr>
          <w:sz w:val="24"/>
          <w:szCs w:val="24"/>
        </w:rPr>
        <w:t xml:space="preserve"> requiring a contribution from the PH reserve)</w:t>
      </w:r>
    </w:p>
    <w:p w:rsidR="001606E9" w:rsidRDefault="001606E9" w:rsidP="001606E9"/>
    <w:p w:rsidR="00792370" w:rsidRDefault="00792370" w:rsidP="001606E9"/>
    <w:p w:rsidR="00792370" w:rsidRDefault="00792370" w:rsidP="001606E9"/>
    <w:p w:rsidR="00792370" w:rsidRDefault="00792370" w:rsidP="001606E9"/>
    <w:p w:rsidR="00792370" w:rsidRDefault="00792370" w:rsidP="001606E9"/>
    <w:p w:rsidR="00792370" w:rsidRDefault="00792370" w:rsidP="001606E9"/>
    <w:p w:rsidR="00792370" w:rsidRDefault="00792370" w:rsidP="001606E9"/>
    <w:p w:rsidR="00792370" w:rsidRDefault="00792370" w:rsidP="001606E9"/>
    <w:p w:rsidR="001606E9" w:rsidRDefault="001606E9" w:rsidP="001606E9">
      <w:r>
        <w:lastRenderedPageBreak/>
        <w:t>Table 1 summarises the use of the public health budget for 2019/20 (rounded)</w:t>
      </w:r>
    </w:p>
    <w:p w:rsidR="001606E9" w:rsidRDefault="001606E9" w:rsidP="001606E9">
      <w:pPr>
        <w:pStyle w:val="Caption"/>
        <w:keepNext/>
      </w:pPr>
      <w:r>
        <w:t xml:space="preserve">Table </w:t>
      </w:r>
      <w:fldSimple w:instr=" SEQ Table \* ARABIC ">
        <w:r>
          <w:rPr>
            <w:noProof/>
          </w:rPr>
          <w:t>1</w:t>
        </w:r>
      </w:fldSimple>
      <w:r>
        <w:t xml:space="preserve"> Public Health Budget 2019-20</w:t>
      </w:r>
    </w:p>
    <w:tbl>
      <w:tblPr>
        <w:tblStyle w:val="TableGrid"/>
        <w:tblW w:w="0" w:type="auto"/>
        <w:tblLook w:val="04A0" w:firstRow="1" w:lastRow="0" w:firstColumn="1" w:lastColumn="0" w:noHBand="0" w:noVBand="1"/>
      </w:tblPr>
      <w:tblGrid>
        <w:gridCol w:w="2518"/>
        <w:gridCol w:w="4961"/>
        <w:gridCol w:w="2093"/>
      </w:tblGrid>
      <w:tr w:rsidR="001606E9" w:rsidTr="00037A88">
        <w:tc>
          <w:tcPr>
            <w:tcW w:w="2518" w:type="dxa"/>
          </w:tcPr>
          <w:p w:rsidR="001606E9" w:rsidRDefault="001606E9" w:rsidP="00037A88"/>
        </w:tc>
        <w:tc>
          <w:tcPr>
            <w:tcW w:w="4961" w:type="dxa"/>
          </w:tcPr>
          <w:p w:rsidR="001606E9" w:rsidRDefault="001606E9" w:rsidP="00037A88"/>
        </w:tc>
        <w:tc>
          <w:tcPr>
            <w:tcW w:w="2093" w:type="dxa"/>
          </w:tcPr>
          <w:p w:rsidR="001606E9" w:rsidRDefault="001606E9" w:rsidP="00037A88">
            <w:r>
              <w:t>Budget (‘000s)</w:t>
            </w:r>
          </w:p>
        </w:tc>
      </w:tr>
      <w:tr w:rsidR="001606E9" w:rsidTr="00037A88">
        <w:tc>
          <w:tcPr>
            <w:tcW w:w="2518" w:type="dxa"/>
            <w:vMerge w:val="restart"/>
          </w:tcPr>
          <w:p w:rsidR="001606E9" w:rsidRDefault="001606E9" w:rsidP="00037A88">
            <w:r>
              <w:rPr>
                <w:b/>
              </w:rPr>
              <w:t>Staffing</w:t>
            </w:r>
          </w:p>
        </w:tc>
        <w:tc>
          <w:tcPr>
            <w:tcW w:w="4961" w:type="dxa"/>
          </w:tcPr>
          <w:p w:rsidR="001606E9" w:rsidRPr="00E7674B" w:rsidRDefault="001606E9" w:rsidP="00037A88">
            <w:pPr>
              <w:rPr>
                <w:i/>
              </w:rPr>
            </w:pPr>
            <w:r w:rsidRPr="00E7674B">
              <w:rPr>
                <w:i/>
              </w:rPr>
              <w:t>Core team</w:t>
            </w:r>
          </w:p>
        </w:tc>
        <w:tc>
          <w:tcPr>
            <w:tcW w:w="2093" w:type="dxa"/>
          </w:tcPr>
          <w:p w:rsidR="001606E9" w:rsidRPr="00E7674B" w:rsidRDefault="001606E9" w:rsidP="00037A88">
            <w:pPr>
              <w:jc w:val="right"/>
              <w:rPr>
                <w:rFonts w:cs="Arial"/>
                <w:i/>
                <w:lang w:eastAsia="en-GB"/>
              </w:rPr>
            </w:pPr>
            <w:r w:rsidRPr="00E7674B">
              <w:rPr>
                <w:rFonts w:cs="Arial"/>
                <w:i/>
                <w:lang w:eastAsia="en-GB"/>
              </w:rPr>
              <w:t>607.8</w:t>
            </w:r>
          </w:p>
        </w:tc>
      </w:tr>
      <w:tr w:rsidR="001606E9" w:rsidTr="00037A88">
        <w:tc>
          <w:tcPr>
            <w:tcW w:w="2518" w:type="dxa"/>
            <w:vMerge/>
          </w:tcPr>
          <w:p w:rsidR="001606E9" w:rsidRDefault="001606E9" w:rsidP="00037A88"/>
        </w:tc>
        <w:tc>
          <w:tcPr>
            <w:tcW w:w="4961" w:type="dxa"/>
          </w:tcPr>
          <w:p w:rsidR="001606E9" w:rsidRPr="00E7674B" w:rsidRDefault="001606E9" w:rsidP="00037A88">
            <w:pPr>
              <w:rPr>
                <w:i/>
              </w:rPr>
            </w:pPr>
            <w:r w:rsidRPr="00E7674B">
              <w:rPr>
                <w:i/>
              </w:rPr>
              <w:t>Additional</w:t>
            </w:r>
          </w:p>
        </w:tc>
        <w:tc>
          <w:tcPr>
            <w:tcW w:w="2093" w:type="dxa"/>
            <w:tcBorders>
              <w:bottom w:val="double" w:sz="4" w:space="0" w:color="auto"/>
            </w:tcBorders>
          </w:tcPr>
          <w:p w:rsidR="001606E9" w:rsidRPr="00E7674B" w:rsidRDefault="001606E9" w:rsidP="00037A88">
            <w:pPr>
              <w:jc w:val="right"/>
              <w:rPr>
                <w:rFonts w:cs="Arial"/>
                <w:i/>
                <w:lang w:eastAsia="en-GB"/>
              </w:rPr>
            </w:pPr>
            <w:r w:rsidRPr="00E7674B">
              <w:rPr>
                <w:rFonts w:cs="Arial"/>
                <w:i/>
                <w:lang w:eastAsia="en-GB"/>
              </w:rPr>
              <w:t>24.8</w:t>
            </w:r>
          </w:p>
        </w:tc>
      </w:tr>
      <w:tr w:rsidR="001606E9" w:rsidTr="00037A88">
        <w:tc>
          <w:tcPr>
            <w:tcW w:w="2518" w:type="dxa"/>
            <w:vMerge/>
          </w:tcPr>
          <w:p w:rsidR="001606E9" w:rsidRDefault="001606E9" w:rsidP="00037A88"/>
        </w:tc>
        <w:tc>
          <w:tcPr>
            <w:tcW w:w="4961" w:type="dxa"/>
            <w:tcBorders>
              <w:right w:val="nil"/>
            </w:tcBorders>
          </w:tcPr>
          <w:p w:rsidR="001606E9" w:rsidRPr="0039753E" w:rsidRDefault="001606E9" w:rsidP="00037A88">
            <w:pPr>
              <w:jc w:val="right"/>
              <w:rPr>
                <w:b/>
              </w:rPr>
            </w:pPr>
            <w:r w:rsidRPr="0039753E">
              <w:rPr>
                <w:b/>
              </w:rPr>
              <w:t>Subtotal</w:t>
            </w:r>
          </w:p>
        </w:tc>
        <w:tc>
          <w:tcPr>
            <w:tcW w:w="2093" w:type="dxa"/>
            <w:tcBorders>
              <w:top w:val="double" w:sz="4" w:space="0" w:color="auto"/>
              <w:left w:val="nil"/>
              <w:bottom w:val="double" w:sz="4" w:space="0" w:color="auto"/>
              <w:right w:val="nil"/>
            </w:tcBorders>
          </w:tcPr>
          <w:p w:rsidR="001606E9" w:rsidRPr="0039753E" w:rsidRDefault="001606E9" w:rsidP="00037A88">
            <w:pPr>
              <w:jc w:val="right"/>
              <w:rPr>
                <w:b/>
              </w:rPr>
            </w:pPr>
            <w:r w:rsidRPr="0039753E">
              <w:rPr>
                <w:b/>
              </w:rPr>
              <w:t>632.6</w:t>
            </w:r>
          </w:p>
        </w:tc>
      </w:tr>
      <w:tr w:rsidR="001606E9" w:rsidTr="00037A88">
        <w:tc>
          <w:tcPr>
            <w:tcW w:w="2518" w:type="dxa"/>
            <w:vMerge w:val="restart"/>
          </w:tcPr>
          <w:p w:rsidR="001606E9" w:rsidRPr="00E7674B" w:rsidRDefault="001606E9" w:rsidP="00037A88">
            <w:pPr>
              <w:rPr>
                <w:b/>
              </w:rPr>
            </w:pPr>
            <w:r w:rsidRPr="00E7674B">
              <w:rPr>
                <w:b/>
              </w:rPr>
              <w:t>Commissioned Services</w:t>
            </w:r>
          </w:p>
        </w:tc>
        <w:tc>
          <w:tcPr>
            <w:tcW w:w="4961" w:type="dxa"/>
          </w:tcPr>
          <w:p w:rsidR="001606E9" w:rsidRPr="00E7674B" w:rsidRDefault="001606E9" w:rsidP="00037A88">
            <w:pPr>
              <w:rPr>
                <w:i/>
              </w:rPr>
            </w:pPr>
            <w:r w:rsidRPr="00E7674B">
              <w:rPr>
                <w:i/>
              </w:rPr>
              <w:t>Sexual health</w:t>
            </w:r>
          </w:p>
        </w:tc>
        <w:tc>
          <w:tcPr>
            <w:tcW w:w="2093" w:type="dxa"/>
            <w:tcBorders>
              <w:top w:val="double" w:sz="4" w:space="0" w:color="auto"/>
            </w:tcBorders>
          </w:tcPr>
          <w:p w:rsidR="001606E9" w:rsidRPr="00E7674B" w:rsidRDefault="001606E9" w:rsidP="00037A88">
            <w:pPr>
              <w:jc w:val="right"/>
              <w:rPr>
                <w:rFonts w:cs="Arial"/>
                <w:i/>
                <w:lang w:eastAsia="en-GB"/>
              </w:rPr>
            </w:pPr>
            <w:r w:rsidRPr="00E7674B">
              <w:rPr>
                <w:rFonts w:cs="Arial"/>
                <w:i/>
                <w:lang w:eastAsia="en-GB"/>
              </w:rPr>
              <w:t>2,192</w:t>
            </w:r>
          </w:p>
        </w:tc>
      </w:tr>
      <w:tr w:rsidR="001606E9" w:rsidTr="00037A88">
        <w:tc>
          <w:tcPr>
            <w:tcW w:w="2518" w:type="dxa"/>
            <w:vMerge/>
          </w:tcPr>
          <w:p w:rsidR="001606E9" w:rsidRDefault="001606E9" w:rsidP="00037A88"/>
        </w:tc>
        <w:tc>
          <w:tcPr>
            <w:tcW w:w="4961" w:type="dxa"/>
          </w:tcPr>
          <w:p w:rsidR="001606E9" w:rsidRPr="00E7674B" w:rsidRDefault="001606E9" w:rsidP="00037A88">
            <w:pPr>
              <w:rPr>
                <w:i/>
              </w:rPr>
            </w:pPr>
            <w:r w:rsidRPr="00E7674B">
              <w:rPr>
                <w:i/>
              </w:rPr>
              <w:t>Substance misuse</w:t>
            </w:r>
          </w:p>
        </w:tc>
        <w:tc>
          <w:tcPr>
            <w:tcW w:w="2093" w:type="dxa"/>
          </w:tcPr>
          <w:p w:rsidR="001606E9" w:rsidRPr="00E7674B" w:rsidRDefault="001606E9" w:rsidP="00037A88">
            <w:pPr>
              <w:jc w:val="right"/>
              <w:rPr>
                <w:rFonts w:cs="Arial"/>
                <w:i/>
                <w:lang w:eastAsia="en-GB"/>
              </w:rPr>
            </w:pPr>
            <w:r w:rsidRPr="00E7674B">
              <w:rPr>
                <w:rFonts w:cs="Arial"/>
                <w:i/>
                <w:lang w:eastAsia="en-GB"/>
              </w:rPr>
              <w:t>1,946</w:t>
            </w:r>
          </w:p>
        </w:tc>
      </w:tr>
      <w:tr w:rsidR="001606E9" w:rsidTr="00037A88">
        <w:tc>
          <w:tcPr>
            <w:tcW w:w="2518" w:type="dxa"/>
            <w:vMerge/>
          </w:tcPr>
          <w:p w:rsidR="001606E9" w:rsidRDefault="001606E9" w:rsidP="00037A88"/>
        </w:tc>
        <w:tc>
          <w:tcPr>
            <w:tcW w:w="4961" w:type="dxa"/>
          </w:tcPr>
          <w:p w:rsidR="001606E9" w:rsidRPr="00E7674B" w:rsidRDefault="001606E9" w:rsidP="00037A88">
            <w:pPr>
              <w:rPr>
                <w:i/>
              </w:rPr>
            </w:pPr>
            <w:r w:rsidRPr="00E7674B">
              <w:rPr>
                <w:i/>
              </w:rPr>
              <w:t xml:space="preserve">0-19 </w:t>
            </w:r>
            <w:r>
              <w:rPr>
                <w:i/>
              </w:rPr>
              <w:t>Public Health Nursing</w:t>
            </w:r>
          </w:p>
        </w:tc>
        <w:tc>
          <w:tcPr>
            <w:tcW w:w="2093" w:type="dxa"/>
          </w:tcPr>
          <w:p w:rsidR="001606E9" w:rsidRPr="00E7674B" w:rsidRDefault="001606E9" w:rsidP="00037A88">
            <w:pPr>
              <w:jc w:val="right"/>
              <w:rPr>
                <w:rFonts w:cs="Arial"/>
                <w:i/>
                <w:lang w:eastAsia="en-GB"/>
              </w:rPr>
            </w:pPr>
            <w:r w:rsidRPr="00E7674B">
              <w:rPr>
                <w:rFonts w:cs="Arial"/>
                <w:i/>
                <w:color w:val="000000"/>
                <w:lang w:eastAsia="en-GB"/>
              </w:rPr>
              <w:t>3,536</w:t>
            </w:r>
          </w:p>
        </w:tc>
      </w:tr>
      <w:tr w:rsidR="001606E9" w:rsidTr="00037A88">
        <w:tc>
          <w:tcPr>
            <w:tcW w:w="2518" w:type="dxa"/>
            <w:vMerge/>
          </w:tcPr>
          <w:p w:rsidR="001606E9" w:rsidRDefault="001606E9" w:rsidP="00037A88"/>
        </w:tc>
        <w:tc>
          <w:tcPr>
            <w:tcW w:w="4961" w:type="dxa"/>
          </w:tcPr>
          <w:p w:rsidR="001606E9" w:rsidRPr="00E7674B" w:rsidRDefault="001606E9" w:rsidP="00037A88">
            <w:pPr>
              <w:rPr>
                <w:i/>
              </w:rPr>
            </w:pPr>
            <w:r w:rsidRPr="00E7674B">
              <w:rPr>
                <w:i/>
              </w:rPr>
              <w:t>NHS Health Checks</w:t>
            </w:r>
          </w:p>
        </w:tc>
        <w:tc>
          <w:tcPr>
            <w:tcW w:w="2093" w:type="dxa"/>
          </w:tcPr>
          <w:p w:rsidR="001606E9" w:rsidRPr="00E7674B" w:rsidRDefault="001606E9" w:rsidP="00037A88">
            <w:pPr>
              <w:jc w:val="right"/>
              <w:rPr>
                <w:rFonts w:cs="Arial"/>
                <w:i/>
                <w:lang w:eastAsia="en-GB"/>
              </w:rPr>
            </w:pPr>
            <w:r w:rsidRPr="00E7674B">
              <w:rPr>
                <w:rFonts w:cs="Arial"/>
                <w:i/>
                <w:lang w:eastAsia="en-GB"/>
              </w:rPr>
              <w:t>176</w:t>
            </w:r>
          </w:p>
        </w:tc>
      </w:tr>
      <w:tr w:rsidR="001606E9" w:rsidTr="00037A88">
        <w:tc>
          <w:tcPr>
            <w:tcW w:w="2518" w:type="dxa"/>
            <w:vMerge/>
          </w:tcPr>
          <w:p w:rsidR="001606E9" w:rsidRDefault="001606E9" w:rsidP="00037A88"/>
        </w:tc>
        <w:tc>
          <w:tcPr>
            <w:tcW w:w="4961" w:type="dxa"/>
            <w:tcBorders>
              <w:right w:val="nil"/>
            </w:tcBorders>
          </w:tcPr>
          <w:p w:rsidR="001606E9" w:rsidRPr="0039753E" w:rsidRDefault="001606E9" w:rsidP="00037A88">
            <w:pPr>
              <w:jc w:val="right"/>
              <w:rPr>
                <w:b/>
              </w:rPr>
            </w:pPr>
            <w:r w:rsidRPr="0039753E">
              <w:rPr>
                <w:b/>
              </w:rPr>
              <w:t>Subtotal</w:t>
            </w:r>
          </w:p>
        </w:tc>
        <w:tc>
          <w:tcPr>
            <w:tcW w:w="2093" w:type="dxa"/>
            <w:tcBorders>
              <w:top w:val="double" w:sz="4" w:space="0" w:color="auto"/>
              <w:left w:val="nil"/>
              <w:bottom w:val="double" w:sz="4" w:space="0" w:color="auto"/>
              <w:right w:val="nil"/>
            </w:tcBorders>
          </w:tcPr>
          <w:p w:rsidR="001606E9" w:rsidRPr="0039753E" w:rsidRDefault="001606E9" w:rsidP="00037A88">
            <w:pPr>
              <w:jc w:val="right"/>
              <w:rPr>
                <w:b/>
              </w:rPr>
            </w:pPr>
            <w:r w:rsidRPr="0039753E">
              <w:rPr>
                <w:b/>
              </w:rPr>
              <w:t>7850</w:t>
            </w:r>
          </w:p>
        </w:tc>
      </w:tr>
      <w:tr w:rsidR="001606E9" w:rsidTr="00037A88">
        <w:tc>
          <w:tcPr>
            <w:tcW w:w="2518" w:type="dxa"/>
            <w:vMerge w:val="restart"/>
          </w:tcPr>
          <w:p w:rsidR="001606E9" w:rsidRPr="007A72E6" w:rsidRDefault="001606E9" w:rsidP="00037A88">
            <w:pPr>
              <w:rPr>
                <w:b/>
              </w:rPr>
            </w:pPr>
            <w:r w:rsidRPr="007A72E6">
              <w:rPr>
                <w:b/>
              </w:rPr>
              <w:t>Health improvement</w:t>
            </w:r>
          </w:p>
        </w:tc>
        <w:tc>
          <w:tcPr>
            <w:tcW w:w="4961" w:type="dxa"/>
            <w:vAlign w:val="bottom"/>
          </w:tcPr>
          <w:p w:rsidR="001606E9" w:rsidRPr="0039753E" w:rsidRDefault="001606E9" w:rsidP="00037A88">
            <w:pPr>
              <w:rPr>
                <w:rFonts w:eastAsiaTheme="minorHAnsi" w:cs="Arial"/>
                <w:i/>
                <w:color w:val="000000"/>
                <w:szCs w:val="22"/>
                <w:lang w:eastAsia="en-GB"/>
              </w:rPr>
            </w:pPr>
            <w:r w:rsidRPr="0039753E">
              <w:rPr>
                <w:rFonts w:cs="Arial"/>
                <w:i/>
                <w:color w:val="000000"/>
                <w:lang w:eastAsia="en-GB"/>
              </w:rPr>
              <w:t>Stop Smoking Service</w:t>
            </w:r>
          </w:p>
        </w:tc>
        <w:tc>
          <w:tcPr>
            <w:tcW w:w="2093" w:type="dxa"/>
            <w:vAlign w:val="bottom"/>
          </w:tcPr>
          <w:p w:rsidR="001606E9" w:rsidRPr="0039753E" w:rsidRDefault="001606E9" w:rsidP="00037A88">
            <w:pPr>
              <w:jc w:val="right"/>
              <w:rPr>
                <w:rFonts w:eastAsiaTheme="minorHAnsi" w:cs="Arial"/>
                <w:i/>
                <w:color w:val="000000"/>
                <w:szCs w:val="22"/>
                <w:lang w:eastAsia="en-GB"/>
              </w:rPr>
            </w:pPr>
            <w:r w:rsidRPr="0039753E">
              <w:rPr>
                <w:rFonts w:cs="Arial"/>
                <w:i/>
                <w:color w:val="000000"/>
                <w:lang w:eastAsia="en-GB"/>
              </w:rPr>
              <w:t>60</w:t>
            </w:r>
          </w:p>
        </w:tc>
      </w:tr>
      <w:tr w:rsidR="001606E9" w:rsidTr="00037A88">
        <w:tc>
          <w:tcPr>
            <w:tcW w:w="2518" w:type="dxa"/>
            <w:vMerge/>
          </w:tcPr>
          <w:p w:rsidR="001606E9" w:rsidRDefault="001606E9" w:rsidP="00037A88"/>
        </w:tc>
        <w:tc>
          <w:tcPr>
            <w:tcW w:w="4961" w:type="dxa"/>
            <w:vAlign w:val="bottom"/>
          </w:tcPr>
          <w:p w:rsidR="001606E9" w:rsidRPr="0039753E" w:rsidRDefault="001606E9" w:rsidP="00037A88">
            <w:pPr>
              <w:rPr>
                <w:rFonts w:eastAsiaTheme="minorHAnsi" w:cs="Arial"/>
                <w:i/>
                <w:color w:val="000000"/>
                <w:szCs w:val="22"/>
                <w:lang w:eastAsia="en-GB"/>
              </w:rPr>
            </w:pPr>
            <w:r w:rsidRPr="0039753E">
              <w:rPr>
                <w:rFonts w:cs="Arial"/>
                <w:i/>
                <w:color w:val="000000"/>
                <w:lang w:eastAsia="en-GB"/>
              </w:rPr>
              <w:t>London Stop Smoking programme</w:t>
            </w:r>
          </w:p>
        </w:tc>
        <w:tc>
          <w:tcPr>
            <w:tcW w:w="2093" w:type="dxa"/>
            <w:vAlign w:val="bottom"/>
          </w:tcPr>
          <w:p w:rsidR="001606E9" w:rsidRPr="0039753E" w:rsidRDefault="001606E9" w:rsidP="00037A88">
            <w:pPr>
              <w:jc w:val="right"/>
              <w:rPr>
                <w:rFonts w:eastAsiaTheme="minorHAnsi" w:cs="Arial"/>
                <w:i/>
                <w:color w:val="000000"/>
                <w:szCs w:val="22"/>
                <w:lang w:eastAsia="en-GB"/>
              </w:rPr>
            </w:pPr>
            <w:r w:rsidRPr="0039753E">
              <w:rPr>
                <w:rFonts w:cs="Arial"/>
                <w:i/>
                <w:color w:val="000000"/>
                <w:lang w:eastAsia="en-GB"/>
              </w:rPr>
              <w:t>7</w:t>
            </w:r>
          </w:p>
        </w:tc>
      </w:tr>
      <w:tr w:rsidR="001606E9" w:rsidTr="00037A88">
        <w:tc>
          <w:tcPr>
            <w:tcW w:w="2518" w:type="dxa"/>
            <w:vMerge/>
          </w:tcPr>
          <w:p w:rsidR="001606E9" w:rsidRDefault="001606E9" w:rsidP="00037A88"/>
        </w:tc>
        <w:tc>
          <w:tcPr>
            <w:tcW w:w="4961" w:type="dxa"/>
            <w:vAlign w:val="bottom"/>
          </w:tcPr>
          <w:p w:rsidR="001606E9" w:rsidRPr="0039753E" w:rsidRDefault="001606E9" w:rsidP="00037A88">
            <w:pPr>
              <w:rPr>
                <w:rFonts w:eastAsiaTheme="minorHAnsi" w:cs="Arial"/>
                <w:i/>
                <w:color w:val="000000"/>
                <w:szCs w:val="22"/>
                <w:lang w:eastAsia="en-GB"/>
              </w:rPr>
            </w:pPr>
            <w:r w:rsidRPr="0039753E">
              <w:rPr>
                <w:rFonts w:cs="Arial"/>
                <w:i/>
                <w:color w:val="000000"/>
                <w:lang w:eastAsia="en-GB"/>
              </w:rPr>
              <w:t>Physical Activity programmes:- adult</w:t>
            </w:r>
          </w:p>
        </w:tc>
        <w:tc>
          <w:tcPr>
            <w:tcW w:w="2093" w:type="dxa"/>
            <w:vAlign w:val="bottom"/>
          </w:tcPr>
          <w:p w:rsidR="001606E9" w:rsidRPr="0039753E" w:rsidRDefault="001606E9" w:rsidP="00037A88">
            <w:pPr>
              <w:jc w:val="right"/>
              <w:rPr>
                <w:rFonts w:eastAsiaTheme="minorHAnsi" w:cs="Arial"/>
                <w:i/>
                <w:color w:val="000000"/>
                <w:szCs w:val="22"/>
                <w:lang w:eastAsia="en-GB"/>
              </w:rPr>
            </w:pPr>
            <w:r w:rsidRPr="0039753E">
              <w:rPr>
                <w:rFonts w:cs="Arial"/>
                <w:i/>
                <w:color w:val="000000"/>
                <w:lang w:eastAsia="en-GB"/>
              </w:rPr>
              <w:t>20</w:t>
            </w:r>
          </w:p>
        </w:tc>
      </w:tr>
      <w:tr w:rsidR="001606E9" w:rsidTr="00037A88">
        <w:tc>
          <w:tcPr>
            <w:tcW w:w="2518" w:type="dxa"/>
            <w:vMerge/>
          </w:tcPr>
          <w:p w:rsidR="001606E9" w:rsidRDefault="001606E9" w:rsidP="00037A88"/>
        </w:tc>
        <w:tc>
          <w:tcPr>
            <w:tcW w:w="4961" w:type="dxa"/>
            <w:vAlign w:val="bottom"/>
          </w:tcPr>
          <w:p w:rsidR="001606E9" w:rsidRPr="0039753E" w:rsidRDefault="001606E9" w:rsidP="00037A88">
            <w:pPr>
              <w:rPr>
                <w:rFonts w:eastAsiaTheme="minorHAnsi" w:cs="Arial"/>
                <w:i/>
                <w:color w:val="000000"/>
                <w:szCs w:val="22"/>
                <w:lang w:eastAsia="en-GB"/>
              </w:rPr>
            </w:pPr>
            <w:r w:rsidRPr="0039753E">
              <w:rPr>
                <w:rFonts w:cs="Arial"/>
                <w:i/>
                <w:color w:val="000000"/>
                <w:lang w:eastAsia="en-GB"/>
              </w:rPr>
              <w:t>Weight Management - adult</w:t>
            </w:r>
          </w:p>
        </w:tc>
        <w:tc>
          <w:tcPr>
            <w:tcW w:w="2093" w:type="dxa"/>
            <w:vAlign w:val="bottom"/>
          </w:tcPr>
          <w:p w:rsidR="001606E9" w:rsidRPr="0039753E" w:rsidRDefault="001606E9" w:rsidP="00037A88">
            <w:pPr>
              <w:jc w:val="right"/>
              <w:rPr>
                <w:rFonts w:eastAsiaTheme="minorHAnsi" w:cs="Arial"/>
                <w:i/>
                <w:color w:val="000000"/>
                <w:szCs w:val="22"/>
                <w:lang w:eastAsia="en-GB"/>
              </w:rPr>
            </w:pPr>
            <w:r w:rsidRPr="0039753E">
              <w:rPr>
                <w:rFonts w:cs="Arial"/>
                <w:i/>
                <w:color w:val="000000"/>
                <w:lang w:eastAsia="en-GB"/>
              </w:rPr>
              <w:t>20</w:t>
            </w:r>
          </w:p>
        </w:tc>
      </w:tr>
      <w:tr w:rsidR="001606E9" w:rsidTr="00037A88">
        <w:tc>
          <w:tcPr>
            <w:tcW w:w="2518" w:type="dxa"/>
            <w:vMerge/>
          </w:tcPr>
          <w:p w:rsidR="001606E9" w:rsidRDefault="001606E9" w:rsidP="00037A88"/>
        </w:tc>
        <w:tc>
          <w:tcPr>
            <w:tcW w:w="4961" w:type="dxa"/>
            <w:vAlign w:val="bottom"/>
          </w:tcPr>
          <w:p w:rsidR="001606E9" w:rsidRPr="0039753E" w:rsidRDefault="001606E9" w:rsidP="00037A88">
            <w:pPr>
              <w:rPr>
                <w:rFonts w:eastAsiaTheme="minorHAnsi" w:cs="Arial"/>
                <w:i/>
                <w:color w:val="000000"/>
                <w:szCs w:val="22"/>
                <w:lang w:eastAsia="en-GB"/>
              </w:rPr>
            </w:pPr>
            <w:r w:rsidRPr="0039753E">
              <w:rPr>
                <w:rFonts w:cs="Arial"/>
                <w:i/>
                <w:color w:val="000000"/>
                <w:lang w:eastAsia="en-GB"/>
              </w:rPr>
              <w:t>Children's programmes</w:t>
            </w:r>
          </w:p>
        </w:tc>
        <w:tc>
          <w:tcPr>
            <w:tcW w:w="2093" w:type="dxa"/>
            <w:vAlign w:val="bottom"/>
          </w:tcPr>
          <w:p w:rsidR="001606E9" w:rsidRPr="0039753E" w:rsidRDefault="001606E9" w:rsidP="00037A88">
            <w:pPr>
              <w:jc w:val="right"/>
              <w:rPr>
                <w:rFonts w:eastAsiaTheme="minorHAnsi" w:cs="Arial"/>
                <w:i/>
                <w:color w:val="000000"/>
                <w:szCs w:val="22"/>
                <w:lang w:eastAsia="en-GB"/>
              </w:rPr>
            </w:pPr>
            <w:r w:rsidRPr="0039753E">
              <w:rPr>
                <w:rFonts w:cs="Arial"/>
                <w:i/>
                <w:color w:val="000000"/>
                <w:lang w:eastAsia="en-GB"/>
              </w:rPr>
              <w:t>50</w:t>
            </w:r>
          </w:p>
        </w:tc>
      </w:tr>
      <w:tr w:rsidR="001606E9" w:rsidTr="00037A88">
        <w:tc>
          <w:tcPr>
            <w:tcW w:w="2518" w:type="dxa"/>
            <w:vMerge/>
          </w:tcPr>
          <w:p w:rsidR="001606E9" w:rsidRDefault="001606E9" w:rsidP="00037A88"/>
        </w:tc>
        <w:tc>
          <w:tcPr>
            <w:tcW w:w="4961" w:type="dxa"/>
            <w:vAlign w:val="bottom"/>
          </w:tcPr>
          <w:p w:rsidR="001606E9" w:rsidRPr="0039753E" w:rsidRDefault="001606E9" w:rsidP="00037A88">
            <w:pPr>
              <w:rPr>
                <w:rFonts w:eastAsiaTheme="minorHAnsi" w:cs="Arial"/>
                <w:i/>
                <w:color w:val="000000"/>
                <w:szCs w:val="22"/>
                <w:lang w:eastAsia="en-GB"/>
              </w:rPr>
            </w:pPr>
            <w:r w:rsidRPr="0039753E">
              <w:rPr>
                <w:rFonts w:cs="Arial"/>
                <w:i/>
                <w:color w:val="000000"/>
                <w:lang w:eastAsia="en-GB"/>
              </w:rPr>
              <w:t xml:space="preserve">School </w:t>
            </w:r>
            <w:proofErr w:type="spellStart"/>
            <w:r w:rsidRPr="0039753E">
              <w:rPr>
                <w:rFonts w:cs="Arial"/>
                <w:i/>
                <w:color w:val="000000"/>
                <w:lang w:eastAsia="en-GB"/>
              </w:rPr>
              <w:t>Superzone</w:t>
            </w:r>
            <w:proofErr w:type="spellEnd"/>
            <w:r w:rsidRPr="0039753E">
              <w:rPr>
                <w:rFonts w:cs="Arial"/>
                <w:i/>
                <w:color w:val="000000"/>
                <w:lang w:eastAsia="en-GB"/>
              </w:rPr>
              <w:t xml:space="preserve"> pilot</w:t>
            </w:r>
          </w:p>
        </w:tc>
        <w:tc>
          <w:tcPr>
            <w:tcW w:w="2093" w:type="dxa"/>
            <w:vAlign w:val="bottom"/>
          </w:tcPr>
          <w:p w:rsidR="001606E9" w:rsidRPr="0039753E" w:rsidRDefault="001606E9" w:rsidP="00037A88">
            <w:pPr>
              <w:jc w:val="right"/>
              <w:rPr>
                <w:rFonts w:eastAsiaTheme="minorHAnsi" w:cs="Arial"/>
                <w:i/>
                <w:color w:val="000000"/>
                <w:szCs w:val="22"/>
                <w:lang w:eastAsia="en-GB"/>
              </w:rPr>
            </w:pPr>
            <w:r w:rsidRPr="0039753E">
              <w:rPr>
                <w:rFonts w:cs="Arial"/>
                <w:i/>
                <w:color w:val="000000"/>
                <w:lang w:eastAsia="en-GB"/>
              </w:rPr>
              <w:t>10</w:t>
            </w:r>
          </w:p>
        </w:tc>
      </w:tr>
      <w:tr w:rsidR="001606E9" w:rsidTr="00037A88">
        <w:tc>
          <w:tcPr>
            <w:tcW w:w="2518" w:type="dxa"/>
            <w:vMerge/>
          </w:tcPr>
          <w:p w:rsidR="001606E9" w:rsidRDefault="001606E9" w:rsidP="00037A88"/>
        </w:tc>
        <w:tc>
          <w:tcPr>
            <w:tcW w:w="4961" w:type="dxa"/>
            <w:vAlign w:val="bottom"/>
          </w:tcPr>
          <w:p w:rsidR="001606E9" w:rsidRPr="0039753E" w:rsidRDefault="001606E9" w:rsidP="00037A88">
            <w:pPr>
              <w:rPr>
                <w:rFonts w:eastAsiaTheme="minorHAnsi" w:cs="Arial"/>
                <w:i/>
                <w:color w:val="000000"/>
                <w:szCs w:val="22"/>
                <w:lang w:eastAsia="en-GB"/>
              </w:rPr>
            </w:pPr>
            <w:r w:rsidRPr="0039753E">
              <w:rPr>
                <w:rFonts w:cs="Arial"/>
                <w:i/>
                <w:color w:val="000000"/>
                <w:lang w:eastAsia="en-GB"/>
              </w:rPr>
              <w:t>Mental Health – Thrive London</w:t>
            </w:r>
          </w:p>
        </w:tc>
        <w:tc>
          <w:tcPr>
            <w:tcW w:w="2093" w:type="dxa"/>
            <w:vAlign w:val="bottom"/>
          </w:tcPr>
          <w:p w:rsidR="001606E9" w:rsidRPr="0039753E" w:rsidRDefault="001606E9" w:rsidP="00037A88">
            <w:pPr>
              <w:jc w:val="right"/>
              <w:rPr>
                <w:rFonts w:eastAsiaTheme="minorHAnsi" w:cs="Arial"/>
                <w:i/>
                <w:color w:val="000000"/>
                <w:szCs w:val="22"/>
                <w:lang w:eastAsia="en-GB"/>
              </w:rPr>
            </w:pPr>
            <w:r w:rsidRPr="0039753E">
              <w:rPr>
                <w:rFonts w:cs="Arial"/>
                <w:i/>
                <w:color w:val="000000"/>
                <w:lang w:eastAsia="en-GB"/>
              </w:rPr>
              <w:t>22</w:t>
            </w:r>
          </w:p>
        </w:tc>
      </w:tr>
      <w:tr w:rsidR="001606E9" w:rsidTr="00037A88">
        <w:tc>
          <w:tcPr>
            <w:tcW w:w="2518" w:type="dxa"/>
            <w:vMerge/>
          </w:tcPr>
          <w:p w:rsidR="001606E9" w:rsidRDefault="001606E9" w:rsidP="00037A88"/>
        </w:tc>
        <w:tc>
          <w:tcPr>
            <w:tcW w:w="4961" w:type="dxa"/>
            <w:vAlign w:val="bottom"/>
          </w:tcPr>
          <w:p w:rsidR="001606E9" w:rsidRPr="0039753E" w:rsidRDefault="001606E9" w:rsidP="00037A88">
            <w:pPr>
              <w:rPr>
                <w:rFonts w:eastAsiaTheme="minorHAnsi" w:cs="Arial"/>
                <w:i/>
                <w:color w:val="000000"/>
                <w:szCs w:val="22"/>
                <w:lang w:eastAsia="en-GB"/>
              </w:rPr>
            </w:pPr>
            <w:r w:rsidRPr="0039753E">
              <w:rPr>
                <w:rFonts w:cs="Arial"/>
                <w:i/>
                <w:color w:val="000000"/>
                <w:lang w:eastAsia="en-GB"/>
              </w:rPr>
              <w:t>Mental health projects</w:t>
            </w:r>
          </w:p>
        </w:tc>
        <w:tc>
          <w:tcPr>
            <w:tcW w:w="2093" w:type="dxa"/>
            <w:vAlign w:val="bottom"/>
          </w:tcPr>
          <w:p w:rsidR="001606E9" w:rsidRPr="0039753E" w:rsidRDefault="001606E9" w:rsidP="00037A88">
            <w:pPr>
              <w:jc w:val="right"/>
              <w:rPr>
                <w:rFonts w:eastAsiaTheme="minorHAnsi" w:cs="Arial"/>
                <w:i/>
                <w:color w:val="000000"/>
                <w:szCs w:val="22"/>
                <w:lang w:eastAsia="en-GB"/>
              </w:rPr>
            </w:pPr>
            <w:r w:rsidRPr="0039753E">
              <w:rPr>
                <w:rFonts w:cs="Arial"/>
                <w:i/>
                <w:color w:val="000000"/>
                <w:lang w:eastAsia="en-GB"/>
              </w:rPr>
              <w:t>30</w:t>
            </w:r>
          </w:p>
        </w:tc>
      </w:tr>
      <w:tr w:rsidR="001606E9" w:rsidTr="00037A88">
        <w:tc>
          <w:tcPr>
            <w:tcW w:w="2518" w:type="dxa"/>
            <w:vMerge/>
          </w:tcPr>
          <w:p w:rsidR="001606E9" w:rsidRDefault="001606E9" w:rsidP="00037A88"/>
        </w:tc>
        <w:tc>
          <w:tcPr>
            <w:tcW w:w="4961" w:type="dxa"/>
            <w:tcBorders>
              <w:right w:val="nil"/>
            </w:tcBorders>
          </w:tcPr>
          <w:p w:rsidR="001606E9" w:rsidRPr="0039753E" w:rsidRDefault="001606E9" w:rsidP="00037A88">
            <w:pPr>
              <w:jc w:val="right"/>
              <w:rPr>
                <w:b/>
              </w:rPr>
            </w:pPr>
            <w:r w:rsidRPr="0039753E">
              <w:rPr>
                <w:b/>
              </w:rPr>
              <w:t>Subtotal</w:t>
            </w:r>
          </w:p>
        </w:tc>
        <w:tc>
          <w:tcPr>
            <w:tcW w:w="2093" w:type="dxa"/>
            <w:tcBorders>
              <w:top w:val="double" w:sz="4" w:space="0" w:color="auto"/>
              <w:left w:val="nil"/>
              <w:bottom w:val="double" w:sz="4" w:space="0" w:color="auto"/>
              <w:right w:val="nil"/>
            </w:tcBorders>
          </w:tcPr>
          <w:p w:rsidR="001606E9" w:rsidRPr="0039753E" w:rsidRDefault="001606E9" w:rsidP="00037A88">
            <w:pPr>
              <w:jc w:val="right"/>
              <w:rPr>
                <w:b/>
              </w:rPr>
            </w:pPr>
            <w:r w:rsidRPr="0039753E">
              <w:rPr>
                <w:b/>
              </w:rPr>
              <w:t>219</w:t>
            </w:r>
          </w:p>
        </w:tc>
      </w:tr>
      <w:tr w:rsidR="001606E9" w:rsidRPr="0039753E" w:rsidTr="00037A88">
        <w:tc>
          <w:tcPr>
            <w:tcW w:w="2518" w:type="dxa"/>
            <w:vMerge w:val="restart"/>
          </w:tcPr>
          <w:p w:rsidR="001606E9" w:rsidRPr="0039753E" w:rsidRDefault="001606E9" w:rsidP="00037A88">
            <w:pPr>
              <w:rPr>
                <w:b/>
              </w:rPr>
            </w:pPr>
            <w:r w:rsidRPr="0039753E">
              <w:rPr>
                <w:b/>
              </w:rPr>
              <w:t>Wider determinants</w:t>
            </w:r>
          </w:p>
        </w:tc>
        <w:tc>
          <w:tcPr>
            <w:tcW w:w="4961" w:type="dxa"/>
            <w:vAlign w:val="center"/>
          </w:tcPr>
          <w:p w:rsidR="001606E9" w:rsidRPr="0039753E" w:rsidRDefault="001606E9" w:rsidP="00037A88">
            <w:pPr>
              <w:rPr>
                <w:rFonts w:cs="Arial"/>
                <w:i/>
                <w:color w:val="000000"/>
                <w:szCs w:val="22"/>
              </w:rPr>
            </w:pPr>
            <w:r w:rsidRPr="0039753E">
              <w:rPr>
                <w:rFonts w:cs="Arial"/>
                <w:i/>
                <w:color w:val="000000"/>
                <w:szCs w:val="22"/>
              </w:rPr>
              <w:t>Early Intervention (</w:t>
            </w:r>
            <w:proofErr w:type="spellStart"/>
            <w:r w:rsidRPr="0039753E">
              <w:rPr>
                <w:rFonts w:cs="Arial"/>
                <w:i/>
                <w:color w:val="000000"/>
                <w:szCs w:val="22"/>
              </w:rPr>
              <w:t>excl</w:t>
            </w:r>
            <w:proofErr w:type="spellEnd"/>
            <w:r w:rsidRPr="0039753E">
              <w:rPr>
                <w:rFonts w:cs="Arial"/>
                <w:i/>
                <w:color w:val="000000"/>
                <w:szCs w:val="22"/>
              </w:rPr>
              <w:t xml:space="preserve"> </w:t>
            </w:r>
            <w:proofErr w:type="spellStart"/>
            <w:r w:rsidRPr="0039753E">
              <w:rPr>
                <w:rFonts w:cs="Arial"/>
                <w:i/>
                <w:color w:val="000000"/>
                <w:szCs w:val="22"/>
              </w:rPr>
              <w:t>mgt</w:t>
            </w:r>
            <w:proofErr w:type="spellEnd"/>
            <w:r w:rsidRPr="0039753E">
              <w:rPr>
                <w:rFonts w:cs="Arial"/>
                <w:i/>
                <w:color w:val="000000"/>
                <w:szCs w:val="22"/>
              </w:rPr>
              <w:t>): 45% 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921.6</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b/>
                <w:i/>
                <w:color w:val="000000"/>
                <w:szCs w:val="22"/>
              </w:rPr>
            </w:pPr>
            <w:r w:rsidRPr="0039753E">
              <w:rPr>
                <w:rFonts w:cs="Arial"/>
                <w:i/>
                <w:color w:val="000000"/>
                <w:szCs w:val="22"/>
              </w:rPr>
              <w:t>Housing Related Support:  50% 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222.5</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b/>
                <w:i/>
                <w:color w:val="000000"/>
                <w:szCs w:val="22"/>
              </w:rPr>
            </w:pPr>
            <w:r w:rsidRPr="0039753E">
              <w:rPr>
                <w:rFonts w:cs="Arial"/>
                <w:i/>
                <w:color w:val="000000"/>
                <w:szCs w:val="22"/>
              </w:rPr>
              <w:t>Welfare to Work: 50% 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52</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i/>
                <w:color w:val="000000"/>
                <w:szCs w:val="22"/>
              </w:rPr>
            </w:pPr>
            <w:r w:rsidRPr="0039753E">
              <w:rPr>
                <w:rFonts w:cs="Arial"/>
                <w:i/>
                <w:color w:val="000000"/>
                <w:szCs w:val="22"/>
              </w:rPr>
              <w:t>Economic Development: 50% 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185.2</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i/>
                <w:color w:val="000000"/>
                <w:szCs w:val="22"/>
              </w:rPr>
            </w:pPr>
            <w:r>
              <w:rPr>
                <w:rFonts w:cs="Arial"/>
                <w:i/>
                <w:color w:val="000000"/>
                <w:szCs w:val="22"/>
              </w:rPr>
              <w:t xml:space="preserve">Leisure </w:t>
            </w:r>
            <w:r w:rsidRPr="0039753E">
              <w:rPr>
                <w:rFonts w:cs="Arial"/>
                <w:i/>
                <w:color w:val="000000"/>
                <w:szCs w:val="22"/>
              </w:rPr>
              <w:t>Contracts Development Officer:  100% 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47.9</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i/>
                <w:color w:val="000000"/>
                <w:szCs w:val="22"/>
              </w:rPr>
            </w:pPr>
            <w:r w:rsidRPr="0039753E">
              <w:rPr>
                <w:rFonts w:cs="Arial"/>
                <w:i/>
                <w:color w:val="000000"/>
                <w:szCs w:val="22"/>
              </w:rPr>
              <w:t>Sports Development Officer: 100% 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54.6</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i/>
                <w:color w:val="000000"/>
                <w:szCs w:val="22"/>
              </w:rPr>
            </w:pPr>
            <w:r w:rsidRPr="0039753E">
              <w:rPr>
                <w:rFonts w:cs="Arial"/>
                <w:i/>
                <w:color w:val="000000"/>
                <w:szCs w:val="22"/>
              </w:rPr>
              <w:t>London Youth Games: 100% 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10.8</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i/>
                <w:color w:val="000000"/>
                <w:szCs w:val="22"/>
              </w:rPr>
            </w:pPr>
            <w:r w:rsidRPr="0039753E">
              <w:rPr>
                <w:rFonts w:cs="Arial"/>
                <w:i/>
                <w:color w:val="000000"/>
                <w:szCs w:val="22"/>
              </w:rPr>
              <w:t xml:space="preserve">Dementia Support - Annie's Place </w:t>
            </w:r>
            <w:r>
              <w:rPr>
                <w:rFonts w:cs="Arial"/>
                <w:i/>
                <w:color w:val="000000"/>
                <w:szCs w:val="22"/>
              </w:rPr>
              <w:t xml:space="preserve">100% </w:t>
            </w:r>
            <w:r w:rsidRPr="0039753E">
              <w:rPr>
                <w:rFonts w:cs="Arial"/>
                <w:i/>
                <w:color w:val="000000"/>
                <w:szCs w:val="22"/>
              </w:rPr>
              <w:t>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30</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i/>
                <w:color w:val="000000"/>
                <w:szCs w:val="22"/>
              </w:rPr>
            </w:pPr>
            <w:r w:rsidRPr="0039753E">
              <w:rPr>
                <w:rFonts w:cs="Arial"/>
                <w:i/>
                <w:color w:val="000000"/>
                <w:szCs w:val="22"/>
              </w:rPr>
              <w:t>The Bridge: 100% 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175</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i/>
                <w:color w:val="000000"/>
                <w:szCs w:val="22"/>
              </w:rPr>
            </w:pPr>
            <w:r w:rsidRPr="0039753E">
              <w:rPr>
                <w:rFonts w:cs="Arial"/>
                <w:i/>
                <w:color w:val="000000"/>
                <w:szCs w:val="22"/>
              </w:rPr>
              <w:t>Age UK &amp; HUG: 100% funded</w:t>
            </w:r>
          </w:p>
        </w:tc>
        <w:tc>
          <w:tcPr>
            <w:tcW w:w="2093" w:type="dxa"/>
            <w:vAlign w:val="center"/>
          </w:tcPr>
          <w:p w:rsidR="001606E9" w:rsidRPr="0039753E" w:rsidRDefault="001606E9" w:rsidP="00037A88">
            <w:pPr>
              <w:jc w:val="right"/>
              <w:rPr>
                <w:rFonts w:cs="Arial"/>
                <w:i/>
                <w:color w:val="000000"/>
                <w:szCs w:val="22"/>
              </w:rPr>
            </w:pPr>
            <w:r w:rsidRPr="0039753E">
              <w:rPr>
                <w:rFonts w:cs="Arial"/>
                <w:i/>
                <w:color w:val="000000"/>
                <w:szCs w:val="22"/>
              </w:rPr>
              <w:t>55</w:t>
            </w:r>
          </w:p>
        </w:tc>
      </w:tr>
      <w:tr w:rsidR="001606E9" w:rsidRPr="0039753E" w:rsidTr="00037A88">
        <w:tc>
          <w:tcPr>
            <w:tcW w:w="2518" w:type="dxa"/>
            <w:vMerge/>
          </w:tcPr>
          <w:p w:rsidR="001606E9" w:rsidRDefault="001606E9" w:rsidP="00037A88"/>
        </w:tc>
        <w:tc>
          <w:tcPr>
            <w:tcW w:w="4961" w:type="dxa"/>
            <w:vAlign w:val="center"/>
          </w:tcPr>
          <w:p w:rsidR="001606E9" w:rsidRPr="0039753E" w:rsidRDefault="001606E9" w:rsidP="00037A88">
            <w:pPr>
              <w:rPr>
                <w:rFonts w:cs="Arial"/>
                <w:i/>
                <w:color w:val="000000"/>
                <w:szCs w:val="22"/>
              </w:rPr>
            </w:pPr>
            <w:r w:rsidRPr="0039753E">
              <w:rPr>
                <w:rFonts w:cs="Arial"/>
                <w:i/>
                <w:color w:val="000000"/>
                <w:szCs w:val="22"/>
              </w:rPr>
              <w:t>Rethink Recovery House: 100% funded</w:t>
            </w:r>
          </w:p>
        </w:tc>
        <w:tc>
          <w:tcPr>
            <w:tcW w:w="2093" w:type="dxa"/>
            <w:tcBorders>
              <w:bottom w:val="double" w:sz="4" w:space="0" w:color="auto"/>
            </w:tcBorders>
            <w:vAlign w:val="center"/>
          </w:tcPr>
          <w:p w:rsidR="001606E9" w:rsidRPr="0039753E" w:rsidRDefault="001606E9" w:rsidP="00037A88">
            <w:pPr>
              <w:jc w:val="right"/>
              <w:rPr>
                <w:rFonts w:cs="Arial"/>
                <w:i/>
                <w:color w:val="000000"/>
                <w:szCs w:val="22"/>
              </w:rPr>
            </w:pPr>
            <w:r w:rsidRPr="0039753E">
              <w:rPr>
                <w:rFonts w:cs="Arial"/>
                <w:i/>
                <w:color w:val="000000"/>
                <w:szCs w:val="22"/>
              </w:rPr>
              <w:t>210</w:t>
            </w:r>
          </w:p>
        </w:tc>
      </w:tr>
      <w:tr w:rsidR="001606E9" w:rsidTr="00037A88">
        <w:tc>
          <w:tcPr>
            <w:tcW w:w="2518" w:type="dxa"/>
            <w:vMerge/>
            <w:tcBorders>
              <w:bottom w:val="single" w:sz="18" w:space="0" w:color="auto"/>
            </w:tcBorders>
          </w:tcPr>
          <w:p w:rsidR="001606E9" w:rsidRDefault="001606E9" w:rsidP="00037A88"/>
        </w:tc>
        <w:tc>
          <w:tcPr>
            <w:tcW w:w="4961" w:type="dxa"/>
            <w:tcBorders>
              <w:bottom w:val="single" w:sz="18" w:space="0" w:color="auto"/>
            </w:tcBorders>
            <w:vAlign w:val="center"/>
          </w:tcPr>
          <w:p w:rsidR="001606E9" w:rsidRDefault="001606E9" w:rsidP="00037A88">
            <w:pPr>
              <w:jc w:val="right"/>
              <w:rPr>
                <w:rFonts w:cs="Arial"/>
                <w:color w:val="000000"/>
                <w:szCs w:val="22"/>
              </w:rPr>
            </w:pPr>
            <w:r w:rsidRPr="0039753E">
              <w:rPr>
                <w:b/>
              </w:rPr>
              <w:t>Subtotal</w:t>
            </w:r>
          </w:p>
        </w:tc>
        <w:tc>
          <w:tcPr>
            <w:tcW w:w="2093" w:type="dxa"/>
            <w:tcBorders>
              <w:top w:val="double" w:sz="4" w:space="0" w:color="auto"/>
              <w:bottom w:val="single" w:sz="18" w:space="0" w:color="auto"/>
            </w:tcBorders>
            <w:vAlign w:val="bottom"/>
          </w:tcPr>
          <w:p w:rsidR="001606E9" w:rsidRDefault="001606E9" w:rsidP="00037A88">
            <w:pPr>
              <w:jc w:val="right"/>
              <w:rPr>
                <w:rFonts w:cs="Arial"/>
                <w:b/>
                <w:bCs/>
                <w:color w:val="000000"/>
                <w:szCs w:val="22"/>
              </w:rPr>
            </w:pPr>
            <w:r>
              <w:rPr>
                <w:rFonts w:cs="Arial"/>
                <w:b/>
                <w:bCs/>
                <w:color w:val="000000"/>
                <w:szCs w:val="22"/>
              </w:rPr>
              <w:t>1,964.6</w:t>
            </w:r>
          </w:p>
        </w:tc>
      </w:tr>
      <w:tr w:rsidR="002C1BFE" w:rsidRPr="0039753E" w:rsidTr="00037A88">
        <w:tc>
          <w:tcPr>
            <w:tcW w:w="2518" w:type="dxa"/>
            <w:tcBorders>
              <w:top w:val="single" w:sz="18" w:space="0" w:color="auto"/>
              <w:bottom w:val="single" w:sz="18" w:space="0" w:color="auto"/>
            </w:tcBorders>
          </w:tcPr>
          <w:p w:rsidR="002C1BFE" w:rsidRPr="0039753E" w:rsidRDefault="002C1BFE" w:rsidP="00037A88">
            <w:pPr>
              <w:rPr>
                <w:b/>
              </w:rPr>
            </w:pPr>
          </w:p>
        </w:tc>
        <w:tc>
          <w:tcPr>
            <w:tcW w:w="4961" w:type="dxa"/>
            <w:tcBorders>
              <w:top w:val="single" w:sz="18" w:space="0" w:color="auto"/>
              <w:bottom w:val="single" w:sz="18" w:space="0" w:color="auto"/>
            </w:tcBorders>
            <w:vAlign w:val="center"/>
          </w:tcPr>
          <w:p w:rsidR="002C1BFE" w:rsidRPr="0039753E" w:rsidRDefault="002C1BFE" w:rsidP="00264F17">
            <w:pPr>
              <w:jc w:val="right"/>
              <w:rPr>
                <w:b/>
              </w:rPr>
            </w:pPr>
            <w:r>
              <w:rPr>
                <w:b/>
              </w:rPr>
              <w:t>Contribution to overheads</w:t>
            </w:r>
          </w:p>
        </w:tc>
        <w:tc>
          <w:tcPr>
            <w:tcW w:w="2093" w:type="dxa"/>
            <w:tcBorders>
              <w:top w:val="single" w:sz="18" w:space="0" w:color="auto"/>
              <w:bottom w:val="single" w:sz="18" w:space="0" w:color="auto"/>
            </w:tcBorders>
            <w:vAlign w:val="bottom"/>
          </w:tcPr>
          <w:p w:rsidR="002C1BFE" w:rsidRDefault="002C1BFE" w:rsidP="00037A88">
            <w:pPr>
              <w:jc w:val="right"/>
              <w:rPr>
                <w:rFonts w:cs="Arial"/>
                <w:b/>
                <w:bCs/>
                <w:color w:val="000000"/>
                <w:szCs w:val="22"/>
              </w:rPr>
            </w:pPr>
            <w:r>
              <w:rPr>
                <w:rFonts w:cs="Arial"/>
                <w:b/>
                <w:bCs/>
                <w:color w:val="000000"/>
                <w:szCs w:val="22"/>
              </w:rPr>
              <w:t>163</w:t>
            </w:r>
          </w:p>
        </w:tc>
      </w:tr>
      <w:tr w:rsidR="001606E9" w:rsidRPr="0039753E" w:rsidTr="00037A88">
        <w:tc>
          <w:tcPr>
            <w:tcW w:w="2518" w:type="dxa"/>
            <w:tcBorders>
              <w:top w:val="single" w:sz="18" w:space="0" w:color="auto"/>
              <w:bottom w:val="single" w:sz="18" w:space="0" w:color="auto"/>
            </w:tcBorders>
          </w:tcPr>
          <w:p w:rsidR="001606E9" w:rsidRPr="0039753E" w:rsidRDefault="001606E9" w:rsidP="00037A88">
            <w:pPr>
              <w:rPr>
                <w:b/>
              </w:rPr>
            </w:pPr>
            <w:r w:rsidRPr="0039753E">
              <w:rPr>
                <w:b/>
              </w:rPr>
              <w:t>TOTAL</w:t>
            </w:r>
          </w:p>
        </w:tc>
        <w:tc>
          <w:tcPr>
            <w:tcW w:w="4961" w:type="dxa"/>
            <w:tcBorders>
              <w:top w:val="single" w:sz="18" w:space="0" w:color="auto"/>
              <w:bottom w:val="single" w:sz="18" w:space="0" w:color="auto"/>
            </w:tcBorders>
            <w:vAlign w:val="center"/>
          </w:tcPr>
          <w:p w:rsidR="001606E9" w:rsidRPr="0039753E" w:rsidRDefault="001606E9" w:rsidP="00037A88">
            <w:pPr>
              <w:jc w:val="right"/>
              <w:rPr>
                <w:b/>
              </w:rPr>
            </w:pPr>
          </w:p>
        </w:tc>
        <w:tc>
          <w:tcPr>
            <w:tcW w:w="2093" w:type="dxa"/>
            <w:tcBorders>
              <w:top w:val="single" w:sz="18" w:space="0" w:color="auto"/>
              <w:bottom w:val="single" w:sz="18" w:space="0" w:color="auto"/>
            </w:tcBorders>
            <w:vAlign w:val="bottom"/>
          </w:tcPr>
          <w:p w:rsidR="001606E9" w:rsidRPr="0039753E" w:rsidRDefault="001606E9" w:rsidP="002C1BFE">
            <w:pPr>
              <w:jc w:val="right"/>
              <w:rPr>
                <w:rFonts w:cs="Arial"/>
                <w:b/>
                <w:bCs/>
                <w:color w:val="000000"/>
                <w:szCs w:val="22"/>
              </w:rPr>
            </w:pPr>
            <w:r>
              <w:rPr>
                <w:rFonts w:cs="Arial"/>
                <w:b/>
                <w:bCs/>
                <w:color w:val="000000"/>
                <w:szCs w:val="22"/>
              </w:rPr>
              <w:t>10,</w:t>
            </w:r>
            <w:r w:rsidR="002C1BFE">
              <w:rPr>
                <w:rFonts w:cs="Arial"/>
                <w:b/>
                <w:bCs/>
                <w:color w:val="000000"/>
                <w:szCs w:val="22"/>
              </w:rPr>
              <w:t>829</w:t>
            </w:r>
            <w:r>
              <w:rPr>
                <w:rFonts w:cs="Arial"/>
                <w:b/>
                <w:bCs/>
                <w:color w:val="000000"/>
                <w:szCs w:val="22"/>
              </w:rPr>
              <w:t>.2</w:t>
            </w:r>
          </w:p>
        </w:tc>
      </w:tr>
    </w:tbl>
    <w:p w:rsidR="001606E9" w:rsidRDefault="001606E9" w:rsidP="001606E9"/>
    <w:p w:rsidR="001606E9" w:rsidRPr="00792370" w:rsidRDefault="001606E9" w:rsidP="001606E9">
      <w:pPr>
        <w:rPr>
          <w:sz w:val="24"/>
          <w:szCs w:val="24"/>
        </w:rPr>
      </w:pPr>
      <w:r w:rsidRPr="00792370">
        <w:rPr>
          <w:sz w:val="24"/>
          <w:szCs w:val="24"/>
        </w:rPr>
        <w:t>Although this total in over the grant allocation, it is anticipated that in year savings may be made, and any excess spend will be covered by the public health reserve.</w:t>
      </w:r>
      <w:r w:rsidR="00CC32E3" w:rsidRPr="00792370">
        <w:rPr>
          <w:sz w:val="24"/>
          <w:szCs w:val="24"/>
        </w:rPr>
        <w:t xml:space="preserve">  An additional £250k for wider determinants has been requested and has been factored into the medium term financial strategy.  This will also come from the public health reserve (and is not covered by the section below about the use of the reserve).  </w:t>
      </w:r>
    </w:p>
    <w:p w:rsidR="001606E9" w:rsidRPr="00792370" w:rsidRDefault="001606E9" w:rsidP="001606E9">
      <w:pPr>
        <w:rPr>
          <w:sz w:val="24"/>
          <w:szCs w:val="24"/>
        </w:rPr>
      </w:pPr>
    </w:p>
    <w:p w:rsidR="001606E9" w:rsidRPr="00792370" w:rsidRDefault="001606E9" w:rsidP="001606E9">
      <w:pPr>
        <w:rPr>
          <w:sz w:val="24"/>
          <w:szCs w:val="24"/>
        </w:rPr>
      </w:pPr>
      <w:r w:rsidRPr="00792370">
        <w:rPr>
          <w:sz w:val="24"/>
          <w:szCs w:val="24"/>
        </w:rPr>
        <w:t>The public health ring fence is proposed to finish in April 2020</w:t>
      </w:r>
      <w:r w:rsidR="00CC32E3" w:rsidRPr="00792370">
        <w:rPr>
          <w:sz w:val="24"/>
          <w:szCs w:val="24"/>
        </w:rPr>
        <w:t xml:space="preserve"> and</w:t>
      </w:r>
      <w:r w:rsidRPr="00792370">
        <w:rPr>
          <w:sz w:val="24"/>
          <w:szCs w:val="24"/>
        </w:rPr>
        <w:t xml:space="preserve"> that the public health services are funded from the retention of business rates thereafter.  There is national lobbying for the ring fence to remain.</w:t>
      </w:r>
    </w:p>
    <w:p w:rsidR="001606E9" w:rsidRDefault="001606E9" w:rsidP="001606E9"/>
    <w:p w:rsidR="001606E9" w:rsidRDefault="001606E9" w:rsidP="001606E9">
      <w:pPr>
        <w:pStyle w:val="Heading2"/>
      </w:pPr>
      <w:r>
        <w:t>The Public Health Reserve</w:t>
      </w:r>
    </w:p>
    <w:p w:rsidR="001606E9" w:rsidRPr="00792370" w:rsidRDefault="001606E9" w:rsidP="001606E9">
      <w:pPr>
        <w:rPr>
          <w:sz w:val="24"/>
          <w:szCs w:val="24"/>
        </w:rPr>
      </w:pPr>
      <w:r w:rsidRPr="00792370">
        <w:rPr>
          <w:sz w:val="24"/>
          <w:szCs w:val="24"/>
        </w:rPr>
        <w:t>The public health grant is ring fenced and any underspend can be carried forward in a reserve fund.  This funding is subject to the same grant conditions as the annual allocation.  In 2017-8, the reserve increased while the public health team were being restructured and last year it increased further due to the underspend on the sexual health contract due to the new e-service being introduced.</w:t>
      </w:r>
    </w:p>
    <w:p w:rsidR="001606E9" w:rsidRDefault="001606E9" w:rsidP="001606E9"/>
    <w:p w:rsidR="001606E9" w:rsidRPr="00792370" w:rsidRDefault="001606E9" w:rsidP="001606E9">
      <w:pPr>
        <w:rPr>
          <w:sz w:val="24"/>
          <w:szCs w:val="24"/>
        </w:rPr>
      </w:pPr>
      <w:r w:rsidRPr="00792370">
        <w:rPr>
          <w:sz w:val="24"/>
          <w:szCs w:val="24"/>
        </w:rPr>
        <w:lastRenderedPageBreak/>
        <w:t>Some contingency needs to be built into the public health budget to cover our role in health protection and emergency planning and any unexpected increases in costs of services.  In order to continue with the planned programme of work, we propose to spend some of the reserve in providing maternity cover for a public health strategist for one year and to bring in additional support to develop the JSNA for the Health and Wellbeing Board.</w:t>
      </w:r>
    </w:p>
    <w:p w:rsidR="001606E9" w:rsidRPr="00792370" w:rsidRDefault="001606E9" w:rsidP="001606E9">
      <w:pPr>
        <w:rPr>
          <w:sz w:val="24"/>
          <w:szCs w:val="24"/>
        </w:rPr>
      </w:pPr>
    </w:p>
    <w:p w:rsidR="001606E9" w:rsidRPr="00792370" w:rsidRDefault="001606E9" w:rsidP="001606E9">
      <w:pPr>
        <w:rPr>
          <w:sz w:val="24"/>
          <w:szCs w:val="24"/>
        </w:rPr>
      </w:pPr>
      <w:r w:rsidRPr="00792370">
        <w:rPr>
          <w:sz w:val="24"/>
          <w:szCs w:val="24"/>
        </w:rPr>
        <w:t>In addition to the almost £2m funding of the above wider determinants of health, further funding has been used to fund or pump prime programmes that support the work of the council.  These programmes have an expectation that they will deliver a cost saving in future years or that they fill a gap in programmes to support specific vulnerable groups.  In 2018-19, over £37k was allocated to three of these projects and an additional £15k was allocated for continuation of the Capable Communities social prescribing project whose grant had finished.  In 2019-20, over £270k has been allocated to these projects and a planned £175k for 2020-21.</w:t>
      </w:r>
    </w:p>
    <w:p w:rsidR="001606E9" w:rsidRDefault="001606E9" w:rsidP="001606E9"/>
    <w:p w:rsidR="001606E9" w:rsidRDefault="001606E9" w:rsidP="001606E9">
      <w:pPr>
        <w:pStyle w:val="Caption"/>
        <w:keepNext/>
      </w:pPr>
      <w:r>
        <w:t xml:space="preserve">Table </w:t>
      </w:r>
      <w:fldSimple w:instr=" SEQ Table \* ARABIC ">
        <w:r>
          <w:rPr>
            <w:noProof/>
          </w:rPr>
          <w:t>2</w:t>
        </w:r>
      </w:fldSimple>
      <w:r>
        <w:t xml:space="preserve"> Planned use of Public Health Reserve 2019-21</w:t>
      </w:r>
    </w:p>
    <w:tbl>
      <w:tblPr>
        <w:tblStyle w:val="TableGrid"/>
        <w:tblW w:w="0" w:type="auto"/>
        <w:tblInd w:w="-34" w:type="dxa"/>
        <w:tblLook w:val="04A0" w:firstRow="1" w:lastRow="0" w:firstColumn="1" w:lastColumn="0" w:noHBand="0" w:noVBand="1"/>
      </w:tblPr>
      <w:tblGrid>
        <w:gridCol w:w="2399"/>
        <w:gridCol w:w="2850"/>
        <w:gridCol w:w="2202"/>
        <w:gridCol w:w="2155"/>
      </w:tblGrid>
      <w:tr w:rsidR="00712F6D" w:rsidTr="00712F6D">
        <w:tc>
          <w:tcPr>
            <w:tcW w:w="2399" w:type="dxa"/>
          </w:tcPr>
          <w:p w:rsidR="00712F6D" w:rsidRDefault="00712F6D" w:rsidP="00712F6D">
            <w:pPr>
              <w:rPr>
                <w:b/>
              </w:rPr>
            </w:pPr>
            <w:r>
              <w:rPr>
                <w:b/>
              </w:rPr>
              <w:t>Area of activity</w:t>
            </w:r>
          </w:p>
        </w:tc>
        <w:tc>
          <w:tcPr>
            <w:tcW w:w="2850" w:type="dxa"/>
          </w:tcPr>
          <w:p w:rsidR="00712F6D" w:rsidRDefault="00712F6D" w:rsidP="00037A88">
            <w:pPr>
              <w:jc w:val="center"/>
              <w:rPr>
                <w:rFonts w:cs="Arial"/>
                <w:color w:val="000000"/>
                <w:lang w:eastAsia="en-GB"/>
              </w:rPr>
            </w:pPr>
          </w:p>
        </w:tc>
        <w:tc>
          <w:tcPr>
            <w:tcW w:w="2202" w:type="dxa"/>
            <w:vAlign w:val="bottom"/>
          </w:tcPr>
          <w:p w:rsidR="00712F6D" w:rsidRDefault="00712F6D" w:rsidP="00037A88">
            <w:pPr>
              <w:jc w:val="center"/>
              <w:rPr>
                <w:rFonts w:cs="Arial"/>
                <w:color w:val="000000"/>
                <w:lang w:eastAsia="en-GB"/>
              </w:rPr>
            </w:pPr>
            <w:r w:rsidRPr="00EF7FD2">
              <w:rPr>
                <w:b/>
              </w:rPr>
              <w:t>2019-20 (000s)</w:t>
            </w:r>
          </w:p>
        </w:tc>
        <w:tc>
          <w:tcPr>
            <w:tcW w:w="2155" w:type="dxa"/>
          </w:tcPr>
          <w:p w:rsidR="00712F6D" w:rsidRPr="00EF7FD2" w:rsidRDefault="00712F6D" w:rsidP="00037A88">
            <w:pPr>
              <w:jc w:val="center"/>
              <w:rPr>
                <w:b/>
              </w:rPr>
            </w:pPr>
            <w:r w:rsidRPr="00EF7FD2">
              <w:rPr>
                <w:b/>
              </w:rPr>
              <w:t>20</w:t>
            </w:r>
            <w:r>
              <w:rPr>
                <w:b/>
              </w:rPr>
              <w:t>20</w:t>
            </w:r>
            <w:r w:rsidRPr="00EF7FD2">
              <w:rPr>
                <w:b/>
              </w:rPr>
              <w:t>-2</w:t>
            </w:r>
            <w:r>
              <w:rPr>
                <w:b/>
              </w:rPr>
              <w:t xml:space="preserve">1 </w:t>
            </w:r>
            <w:r w:rsidRPr="00EF7FD2">
              <w:rPr>
                <w:b/>
              </w:rPr>
              <w:t>(000s)</w:t>
            </w:r>
          </w:p>
        </w:tc>
      </w:tr>
      <w:tr w:rsidR="00712F6D" w:rsidRPr="007A72E6" w:rsidTr="00712F6D">
        <w:tc>
          <w:tcPr>
            <w:tcW w:w="2399" w:type="dxa"/>
          </w:tcPr>
          <w:p w:rsidR="00712F6D" w:rsidRPr="00712F6D" w:rsidRDefault="00712F6D" w:rsidP="00037A88">
            <w:pPr>
              <w:rPr>
                <w:rFonts w:cs="Arial"/>
                <w:b/>
                <w:color w:val="000000"/>
                <w:szCs w:val="22"/>
                <w:lang w:eastAsia="en-GB"/>
              </w:rPr>
            </w:pPr>
            <w:r w:rsidRPr="00712F6D">
              <w:rPr>
                <w:rFonts w:cs="Arial"/>
                <w:b/>
                <w:color w:val="000000"/>
                <w:szCs w:val="22"/>
                <w:lang w:eastAsia="en-GB"/>
              </w:rPr>
              <w:t>Public Health Capacity</w:t>
            </w:r>
          </w:p>
        </w:tc>
        <w:tc>
          <w:tcPr>
            <w:tcW w:w="2850" w:type="dxa"/>
            <w:vAlign w:val="bottom"/>
          </w:tcPr>
          <w:p w:rsidR="00712F6D" w:rsidRPr="00712F6D" w:rsidRDefault="00712F6D" w:rsidP="00037A88">
            <w:pPr>
              <w:rPr>
                <w:rFonts w:cs="Arial"/>
                <w:i/>
                <w:color w:val="000000"/>
                <w:szCs w:val="22"/>
                <w:lang w:eastAsia="en-GB"/>
              </w:rPr>
            </w:pPr>
            <w:r w:rsidRPr="00712F6D">
              <w:rPr>
                <w:rFonts w:cs="Arial"/>
                <w:i/>
                <w:color w:val="000000"/>
                <w:szCs w:val="22"/>
                <w:lang w:eastAsia="en-GB"/>
              </w:rPr>
              <w:t>PH Strategist Maternity Cover</w:t>
            </w:r>
          </w:p>
        </w:tc>
        <w:tc>
          <w:tcPr>
            <w:tcW w:w="2202" w:type="dxa"/>
            <w:vAlign w:val="bottom"/>
          </w:tcPr>
          <w:p w:rsidR="00712F6D" w:rsidRPr="007A72E6" w:rsidRDefault="00712F6D" w:rsidP="00037A88">
            <w:pPr>
              <w:jc w:val="right"/>
              <w:rPr>
                <w:rFonts w:cs="Arial"/>
                <w:i/>
                <w:color w:val="000000"/>
                <w:szCs w:val="22"/>
              </w:rPr>
            </w:pPr>
            <w:r>
              <w:rPr>
                <w:rFonts w:cs="Arial"/>
                <w:i/>
                <w:color w:val="000000"/>
                <w:szCs w:val="22"/>
              </w:rPr>
              <w:t>32.3</w:t>
            </w:r>
          </w:p>
        </w:tc>
        <w:tc>
          <w:tcPr>
            <w:tcW w:w="2155" w:type="dxa"/>
            <w:vAlign w:val="bottom"/>
          </w:tcPr>
          <w:p w:rsidR="00712F6D" w:rsidRPr="007A72E6" w:rsidRDefault="00712F6D" w:rsidP="00037A88">
            <w:pPr>
              <w:jc w:val="right"/>
              <w:rPr>
                <w:rFonts w:cs="Arial"/>
                <w:i/>
                <w:color w:val="000000"/>
                <w:szCs w:val="22"/>
              </w:rPr>
            </w:pPr>
            <w:r>
              <w:rPr>
                <w:rFonts w:cs="Arial"/>
                <w:i/>
                <w:color w:val="000000"/>
                <w:szCs w:val="22"/>
              </w:rPr>
              <w:t>17</w:t>
            </w:r>
          </w:p>
        </w:tc>
      </w:tr>
      <w:tr w:rsidR="00712F6D" w:rsidRPr="007A72E6" w:rsidTr="00712F6D">
        <w:tc>
          <w:tcPr>
            <w:tcW w:w="2399" w:type="dxa"/>
          </w:tcPr>
          <w:p w:rsidR="00712F6D" w:rsidRPr="007A72E6" w:rsidRDefault="00712F6D" w:rsidP="00037A88">
            <w:pPr>
              <w:rPr>
                <w:rFonts w:cs="Arial"/>
                <w:color w:val="000000"/>
                <w:szCs w:val="22"/>
                <w:lang w:eastAsia="en-GB"/>
              </w:rPr>
            </w:pPr>
          </w:p>
        </w:tc>
        <w:tc>
          <w:tcPr>
            <w:tcW w:w="2850" w:type="dxa"/>
            <w:vAlign w:val="bottom"/>
          </w:tcPr>
          <w:p w:rsidR="00712F6D" w:rsidRPr="00712F6D" w:rsidRDefault="00712F6D" w:rsidP="00037A88">
            <w:pPr>
              <w:rPr>
                <w:rFonts w:cs="Arial"/>
                <w:i/>
                <w:color w:val="000000"/>
                <w:szCs w:val="22"/>
                <w:lang w:eastAsia="en-GB"/>
              </w:rPr>
            </w:pPr>
            <w:r w:rsidRPr="00712F6D">
              <w:rPr>
                <w:rFonts w:cs="Arial"/>
                <w:i/>
                <w:color w:val="000000"/>
                <w:szCs w:val="22"/>
                <w:lang w:eastAsia="en-GB"/>
              </w:rPr>
              <w:t>JSNA PH Analyst – interim support</w:t>
            </w:r>
          </w:p>
        </w:tc>
        <w:tc>
          <w:tcPr>
            <w:tcW w:w="2202" w:type="dxa"/>
            <w:vAlign w:val="bottom"/>
          </w:tcPr>
          <w:p w:rsidR="00712F6D" w:rsidRPr="007A72E6" w:rsidRDefault="00712F6D" w:rsidP="00037A88">
            <w:pPr>
              <w:jc w:val="right"/>
              <w:rPr>
                <w:rFonts w:cs="Arial"/>
                <w:i/>
                <w:color w:val="000000"/>
                <w:szCs w:val="22"/>
              </w:rPr>
            </w:pPr>
            <w:r>
              <w:rPr>
                <w:rFonts w:cs="Arial"/>
                <w:i/>
                <w:color w:val="000000"/>
                <w:szCs w:val="22"/>
              </w:rPr>
              <w:t>40</w:t>
            </w:r>
          </w:p>
        </w:tc>
        <w:tc>
          <w:tcPr>
            <w:tcW w:w="2155" w:type="dxa"/>
            <w:vAlign w:val="bottom"/>
          </w:tcPr>
          <w:p w:rsidR="00712F6D" w:rsidRPr="007A72E6" w:rsidRDefault="00712F6D" w:rsidP="00037A88">
            <w:pPr>
              <w:jc w:val="right"/>
              <w:rPr>
                <w:rFonts w:cs="Arial"/>
                <w:i/>
                <w:color w:val="000000"/>
                <w:szCs w:val="22"/>
              </w:rPr>
            </w:pPr>
          </w:p>
        </w:tc>
      </w:tr>
      <w:tr w:rsidR="00712F6D" w:rsidRPr="007A72E6" w:rsidTr="00712F6D">
        <w:tc>
          <w:tcPr>
            <w:tcW w:w="2399" w:type="dxa"/>
          </w:tcPr>
          <w:p w:rsidR="00712F6D" w:rsidRPr="007A72E6" w:rsidRDefault="00712F6D" w:rsidP="00037A88">
            <w:pPr>
              <w:rPr>
                <w:rFonts w:cs="Arial"/>
                <w:i/>
                <w:color w:val="000000"/>
                <w:lang w:eastAsia="en-GB"/>
              </w:rPr>
            </w:pPr>
            <w:r w:rsidRPr="0039753E">
              <w:rPr>
                <w:b/>
              </w:rPr>
              <w:t>Wider determinants</w:t>
            </w:r>
          </w:p>
        </w:tc>
        <w:tc>
          <w:tcPr>
            <w:tcW w:w="2850" w:type="dxa"/>
            <w:vAlign w:val="bottom"/>
          </w:tcPr>
          <w:p w:rsidR="00712F6D" w:rsidRPr="007A72E6" w:rsidRDefault="00712F6D" w:rsidP="00037A88">
            <w:pPr>
              <w:rPr>
                <w:rFonts w:eastAsia="Calibri" w:cs="Arial"/>
                <w:i/>
                <w:color w:val="000000"/>
                <w:szCs w:val="22"/>
                <w:lang w:eastAsia="en-GB"/>
              </w:rPr>
            </w:pPr>
            <w:r w:rsidRPr="007A72E6">
              <w:rPr>
                <w:rFonts w:cs="Arial"/>
                <w:i/>
                <w:color w:val="000000"/>
                <w:lang w:eastAsia="en-GB"/>
              </w:rPr>
              <w:t>ADHD and autism support</w:t>
            </w:r>
          </w:p>
        </w:tc>
        <w:tc>
          <w:tcPr>
            <w:tcW w:w="2202" w:type="dxa"/>
            <w:vAlign w:val="bottom"/>
          </w:tcPr>
          <w:p w:rsidR="00712F6D" w:rsidRPr="007A72E6" w:rsidRDefault="00712F6D" w:rsidP="00037A88">
            <w:pPr>
              <w:jc w:val="right"/>
              <w:rPr>
                <w:rFonts w:cs="Arial"/>
                <w:i/>
                <w:color w:val="000000"/>
                <w:szCs w:val="22"/>
              </w:rPr>
            </w:pPr>
            <w:r w:rsidRPr="007A72E6">
              <w:rPr>
                <w:rFonts w:cs="Arial"/>
                <w:i/>
                <w:color w:val="000000"/>
                <w:szCs w:val="22"/>
              </w:rPr>
              <w:t>43</w:t>
            </w:r>
          </w:p>
        </w:tc>
        <w:tc>
          <w:tcPr>
            <w:tcW w:w="2155" w:type="dxa"/>
            <w:vAlign w:val="bottom"/>
          </w:tcPr>
          <w:p w:rsidR="00712F6D" w:rsidRPr="007A72E6" w:rsidRDefault="00712F6D" w:rsidP="00037A88">
            <w:pPr>
              <w:jc w:val="right"/>
              <w:rPr>
                <w:rFonts w:cs="Arial"/>
                <w:i/>
                <w:color w:val="000000"/>
                <w:szCs w:val="22"/>
              </w:rPr>
            </w:pPr>
            <w:r w:rsidRPr="007A72E6">
              <w:rPr>
                <w:rFonts w:cs="Arial"/>
                <w:i/>
                <w:color w:val="000000"/>
                <w:szCs w:val="22"/>
              </w:rPr>
              <w:t> </w:t>
            </w:r>
          </w:p>
        </w:tc>
      </w:tr>
      <w:tr w:rsidR="00712F6D" w:rsidRPr="007A72E6" w:rsidTr="00712F6D">
        <w:tc>
          <w:tcPr>
            <w:tcW w:w="2399" w:type="dxa"/>
          </w:tcPr>
          <w:p w:rsidR="00712F6D" w:rsidRPr="007A72E6" w:rsidRDefault="00712F6D" w:rsidP="00037A88">
            <w:pPr>
              <w:rPr>
                <w:rFonts w:cs="Arial"/>
                <w:i/>
                <w:color w:val="000000"/>
                <w:lang w:eastAsia="en-GB"/>
              </w:rPr>
            </w:pPr>
          </w:p>
        </w:tc>
        <w:tc>
          <w:tcPr>
            <w:tcW w:w="2850" w:type="dxa"/>
            <w:vAlign w:val="bottom"/>
          </w:tcPr>
          <w:p w:rsidR="00712F6D" w:rsidRPr="007A72E6" w:rsidRDefault="00712F6D" w:rsidP="00037A88">
            <w:pPr>
              <w:rPr>
                <w:rFonts w:eastAsia="Calibri" w:cs="Arial"/>
                <w:i/>
                <w:color w:val="000000"/>
                <w:szCs w:val="22"/>
                <w:lang w:eastAsia="en-GB"/>
              </w:rPr>
            </w:pPr>
            <w:r w:rsidRPr="007A72E6">
              <w:rPr>
                <w:rFonts w:cs="Arial"/>
                <w:i/>
                <w:color w:val="000000"/>
                <w:lang w:eastAsia="en-GB"/>
              </w:rPr>
              <w:t>ASC Hoarding project</w:t>
            </w:r>
          </w:p>
        </w:tc>
        <w:tc>
          <w:tcPr>
            <w:tcW w:w="2202" w:type="dxa"/>
            <w:vAlign w:val="bottom"/>
          </w:tcPr>
          <w:p w:rsidR="00712F6D" w:rsidRPr="007A72E6" w:rsidRDefault="00712F6D" w:rsidP="00037A88">
            <w:pPr>
              <w:jc w:val="right"/>
              <w:rPr>
                <w:rFonts w:cs="Arial"/>
                <w:i/>
                <w:color w:val="000000"/>
                <w:szCs w:val="22"/>
              </w:rPr>
            </w:pPr>
            <w:r w:rsidRPr="007A72E6">
              <w:rPr>
                <w:rFonts w:cs="Arial"/>
                <w:i/>
                <w:color w:val="000000"/>
                <w:szCs w:val="22"/>
              </w:rPr>
              <w:t>19</w:t>
            </w:r>
          </w:p>
        </w:tc>
        <w:tc>
          <w:tcPr>
            <w:tcW w:w="2155" w:type="dxa"/>
            <w:vAlign w:val="bottom"/>
          </w:tcPr>
          <w:p w:rsidR="00712F6D" w:rsidRPr="007A72E6" w:rsidRDefault="00712F6D" w:rsidP="00037A88">
            <w:pPr>
              <w:jc w:val="right"/>
              <w:rPr>
                <w:rFonts w:cs="Arial"/>
                <w:i/>
                <w:color w:val="000000"/>
                <w:szCs w:val="22"/>
              </w:rPr>
            </w:pPr>
            <w:r w:rsidRPr="007A72E6">
              <w:rPr>
                <w:rFonts w:cs="Arial"/>
                <w:i/>
                <w:color w:val="000000"/>
                <w:szCs w:val="22"/>
              </w:rPr>
              <w:t> </w:t>
            </w:r>
          </w:p>
        </w:tc>
      </w:tr>
      <w:tr w:rsidR="00712F6D" w:rsidRPr="007A72E6" w:rsidTr="00712F6D">
        <w:tc>
          <w:tcPr>
            <w:tcW w:w="2399" w:type="dxa"/>
          </w:tcPr>
          <w:p w:rsidR="00712F6D" w:rsidRPr="007A72E6" w:rsidRDefault="00712F6D" w:rsidP="00037A88">
            <w:pPr>
              <w:rPr>
                <w:rFonts w:cs="Arial"/>
                <w:i/>
                <w:color w:val="000000"/>
                <w:lang w:eastAsia="en-GB"/>
              </w:rPr>
            </w:pPr>
          </w:p>
        </w:tc>
        <w:tc>
          <w:tcPr>
            <w:tcW w:w="2850" w:type="dxa"/>
            <w:vAlign w:val="bottom"/>
          </w:tcPr>
          <w:p w:rsidR="00712F6D" w:rsidRPr="007A72E6" w:rsidRDefault="00712F6D" w:rsidP="00037A88">
            <w:pPr>
              <w:rPr>
                <w:rFonts w:eastAsia="Calibri" w:cs="Arial"/>
                <w:i/>
                <w:color w:val="000000"/>
                <w:szCs w:val="22"/>
                <w:lang w:eastAsia="en-GB"/>
              </w:rPr>
            </w:pPr>
            <w:r w:rsidRPr="007A72E6">
              <w:rPr>
                <w:rFonts w:cs="Arial"/>
                <w:i/>
                <w:color w:val="000000"/>
                <w:lang w:eastAsia="en-GB"/>
              </w:rPr>
              <w:t xml:space="preserve">STP-1  Employment for people recovering from alcohol misuse </w:t>
            </w:r>
          </w:p>
        </w:tc>
        <w:tc>
          <w:tcPr>
            <w:tcW w:w="2202" w:type="dxa"/>
            <w:vAlign w:val="bottom"/>
          </w:tcPr>
          <w:p w:rsidR="00712F6D" w:rsidRPr="007A72E6" w:rsidRDefault="00712F6D" w:rsidP="00037A88">
            <w:pPr>
              <w:jc w:val="right"/>
              <w:rPr>
                <w:rFonts w:cs="Arial"/>
                <w:i/>
                <w:color w:val="000000"/>
                <w:szCs w:val="22"/>
              </w:rPr>
            </w:pPr>
            <w:r w:rsidRPr="007A72E6">
              <w:rPr>
                <w:rFonts w:cs="Arial"/>
                <w:i/>
                <w:color w:val="000000"/>
                <w:szCs w:val="22"/>
              </w:rPr>
              <w:t>25.7</w:t>
            </w:r>
          </w:p>
        </w:tc>
        <w:tc>
          <w:tcPr>
            <w:tcW w:w="2155" w:type="dxa"/>
            <w:vAlign w:val="bottom"/>
          </w:tcPr>
          <w:p w:rsidR="00712F6D" w:rsidRPr="007A72E6" w:rsidRDefault="00712F6D" w:rsidP="00037A88">
            <w:pPr>
              <w:jc w:val="right"/>
              <w:rPr>
                <w:rFonts w:cs="Arial"/>
                <w:i/>
                <w:color w:val="000000"/>
                <w:szCs w:val="22"/>
              </w:rPr>
            </w:pPr>
            <w:r w:rsidRPr="007A72E6">
              <w:rPr>
                <w:rFonts w:cs="Arial"/>
                <w:i/>
                <w:color w:val="000000"/>
                <w:szCs w:val="22"/>
              </w:rPr>
              <w:t>25.6</w:t>
            </w:r>
          </w:p>
        </w:tc>
      </w:tr>
      <w:tr w:rsidR="00712F6D" w:rsidRPr="007A72E6" w:rsidTr="00712F6D">
        <w:tc>
          <w:tcPr>
            <w:tcW w:w="2399" w:type="dxa"/>
          </w:tcPr>
          <w:p w:rsidR="00712F6D" w:rsidRPr="007A72E6" w:rsidRDefault="00712F6D" w:rsidP="00037A88">
            <w:pPr>
              <w:rPr>
                <w:rFonts w:cs="Arial"/>
                <w:i/>
                <w:color w:val="000000"/>
                <w:lang w:eastAsia="en-GB"/>
              </w:rPr>
            </w:pPr>
          </w:p>
        </w:tc>
        <w:tc>
          <w:tcPr>
            <w:tcW w:w="2850" w:type="dxa"/>
            <w:vAlign w:val="bottom"/>
          </w:tcPr>
          <w:p w:rsidR="00712F6D" w:rsidRPr="007A72E6" w:rsidRDefault="00712F6D" w:rsidP="00037A88">
            <w:pPr>
              <w:rPr>
                <w:rFonts w:eastAsia="Calibri" w:cs="Arial"/>
                <w:i/>
                <w:color w:val="000000"/>
                <w:szCs w:val="22"/>
                <w:lang w:eastAsia="en-GB"/>
              </w:rPr>
            </w:pPr>
            <w:r w:rsidRPr="007A72E6">
              <w:rPr>
                <w:rFonts w:cs="Arial"/>
                <w:i/>
                <w:color w:val="000000"/>
                <w:lang w:eastAsia="en-GB"/>
              </w:rPr>
              <w:t>Dementia admiral nurse</w:t>
            </w:r>
          </w:p>
        </w:tc>
        <w:tc>
          <w:tcPr>
            <w:tcW w:w="2202" w:type="dxa"/>
            <w:vAlign w:val="bottom"/>
          </w:tcPr>
          <w:p w:rsidR="00712F6D" w:rsidRPr="007A72E6" w:rsidRDefault="00712F6D" w:rsidP="00037A88">
            <w:pPr>
              <w:jc w:val="right"/>
              <w:rPr>
                <w:rFonts w:cs="Arial"/>
                <w:i/>
                <w:color w:val="000000"/>
                <w:szCs w:val="22"/>
              </w:rPr>
            </w:pPr>
            <w:r w:rsidRPr="007A72E6">
              <w:rPr>
                <w:rFonts w:cs="Arial"/>
                <w:i/>
                <w:color w:val="000000"/>
                <w:szCs w:val="22"/>
              </w:rPr>
              <w:t>50</w:t>
            </w:r>
          </w:p>
        </w:tc>
        <w:tc>
          <w:tcPr>
            <w:tcW w:w="2155" w:type="dxa"/>
            <w:vAlign w:val="bottom"/>
          </w:tcPr>
          <w:p w:rsidR="00712F6D" w:rsidRPr="007A72E6" w:rsidRDefault="00712F6D" w:rsidP="00037A88">
            <w:pPr>
              <w:jc w:val="right"/>
              <w:rPr>
                <w:rFonts w:cs="Arial"/>
                <w:i/>
                <w:color w:val="000000"/>
                <w:szCs w:val="22"/>
              </w:rPr>
            </w:pPr>
            <w:r w:rsidRPr="007A72E6">
              <w:rPr>
                <w:rFonts w:cs="Arial"/>
                <w:i/>
                <w:color w:val="000000"/>
                <w:szCs w:val="22"/>
              </w:rPr>
              <w:t>25</w:t>
            </w:r>
          </w:p>
        </w:tc>
      </w:tr>
      <w:tr w:rsidR="00712F6D" w:rsidRPr="007A72E6" w:rsidTr="00712F6D">
        <w:tc>
          <w:tcPr>
            <w:tcW w:w="2399" w:type="dxa"/>
          </w:tcPr>
          <w:p w:rsidR="00712F6D" w:rsidRPr="007A72E6" w:rsidRDefault="00712F6D" w:rsidP="00037A88">
            <w:pPr>
              <w:rPr>
                <w:rFonts w:cs="Arial"/>
                <w:i/>
                <w:color w:val="000000"/>
                <w:lang w:eastAsia="en-GB"/>
              </w:rPr>
            </w:pPr>
          </w:p>
        </w:tc>
        <w:tc>
          <w:tcPr>
            <w:tcW w:w="2850" w:type="dxa"/>
            <w:vAlign w:val="bottom"/>
          </w:tcPr>
          <w:p w:rsidR="00712F6D" w:rsidRPr="007A72E6" w:rsidRDefault="00712F6D" w:rsidP="00037A88">
            <w:pPr>
              <w:rPr>
                <w:rFonts w:eastAsia="Calibri" w:cs="Arial"/>
                <w:i/>
                <w:color w:val="000000"/>
                <w:szCs w:val="22"/>
                <w:lang w:eastAsia="en-GB"/>
              </w:rPr>
            </w:pPr>
            <w:r w:rsidRPr="007A72E6">
              <w:rPr>
                <w:rFonts w:cs="Arial"/>
                <w:i/>
                <w:color w:val="000000"/>
                <w:lang w:eastAsia="en-GB"/>
              </w:rPr>
              <w:t>Dementia hub</w:t>
            </w:r>
          </w:p>
        </w:tc>
        <w:tc>
          <w:tcPr>
            <w:tcW w:w="2202" w:type="dxa"/>
            <w:vAlign w:val="bottom"/>
          </w:tcPr>
          <w:p w:rsidR="00712F6D" w:rsidRPr="007A72E6" w:rsidRDefault="00712F6D" w:rsidP="00037A88">
            <w:pPr>
              <w:jc w:val="right"/>
              <w:rPr>
                <w:rFonts w:cs="Arial"/>
                <w:i/>
                <w:color w:val="000000"/>
                <w:szCs w:val="22"/>
              </w:rPr>
            </w:pPr>
            <w:r w:rsidRPr="007A72E6">
              <w:rPr>
                <w:rFonts w:cs="Arial"/>
                <w:i/>
                <w:color w:val="000000"/>
                <w:szCs w:val="22"/>
              </w:rPr>
              <w:t>25</w:t>
            </w:r>
          </w:p>
        </w:tc>
        <w:tc>
          <w:tcPr>
            <w:tcW w:w="2155" w:type="dxa"/>
            <w:vAlign w:val="bottom"/>
          </w:tcPr>
          <w:p w:rsidR="00712F6D" w:rsidRPr="007A72E6" w:rsidRDefault="00712F6D" w:rsidP="00037A88">
            <w:pPr>
              <w:jc w:val="right"/>
              <w:rPr>
                <w:rFonts w:cs="Arial"/>
                <w:i/>
                <w:color w:val="000000"/>
                <w:szCs w:val="22"/>
              </w:rPr>
            </w:pPr>
          </w:p>
        </w:tc>
      </w:tr>
      <w:tr w:rsidR="00712F6D" w:rsidRPr="007A72E6" w:rsidTr="00712F6D">
        <w:tc>
          <w:tcPr>
            <w:tcW w:w="2399" w:type="dxa"/>
          </w:tcPr>
          <w:p w:rsidR="00712F6D" w:rsidRPr="007A72E6" w:rsidRDefault="00712F6D" w:rsidP="00037A88">
            <w:pPr>
              <w:rPr>
                <w:rFonts w:cs="Arial"/>
                <w:i/>
                <w:color w:val="000000"/>
                <w:lang w:eastAsia="en-GB"/>
              </w:rPr>
            </w:pPr>
          </w:p>
        </w:tc>
        <w:tc>
          <w:tcPr>
            <w:tcW w:w="2850" w:type="dxa"/>
            <w:vAlign w:val="bottom"/>
          </w:tcPr>
          <w:p w:rsidR="00712F6D" w:rsidRPr="007A72E6" w:rsidRDefault="00712F6D" w:rsidP="00037A88">
            <w:pPr>
              <w:rPr>
                <w:rFonts w:eastAsia="Calibri" w:cs="Arial"/>
                <w:i/>
                <w:color w:val="000000"/>
                <w:szCs w:val="22"/>
                <w:lang w:eastAsia="en-GB"/>
              </w:rPr>
            </w:pPr>
            <w:r w:rsidRPr="007A72E6">
              <w:rPr>
                <w:rFonts w:cs="Arial"/>
                <w:i/>
                <w:color w:val="000000"/>
                <w:lang w:eastAsia="en-GB"/>
              </w:rPr>
              <w:t>Social prescribing</w:t>
            </w:r>
          </w:p>
        </w:tc>
        <w:tc>
          <w:tcPr>
            <w:tcW w:w="2202" w:type="dxa"/>
            <w:vAlign w:val="bottom"/>
          </w:tcPr>
          <w:p w:rsidR="00712F6D" w:rsidRPr="007A72E6" w:rsidRDefault="00712F6D" w:rsidP="00037A88">
            <w:pPr>
              <w:jc w:val="right"/>
              <w:rPr>
                <w:rFonts w:cs="Arial"/>
                <w:i/>
                <w:color w:val="000000"/>
                <w:szCs w:val="22"/>
              </w:rPr>
            </w:pPr>
            <w:r w:rsidRPr="007A72E6">
              <w:rPr>
                <w:rFonts w:cs="Arial"/>
                <w:i/>
                <w:color w:val="000000"/>
                <w:szCs w:val="22"/>
              </w:rPr>
              <w:t xml:space="preserve">100 </w:t>
            </w:r>
          </w:p>
        </w:tc>
        <w:tc>
          <w:tcPr>
            <w:tcW w:w="2155" w:type="dxa"/>
            <w:vAlign w:val="bottom"/>
          </w:tcPr>
          <w:p w:rsidR="00712F6D" w:rsidRPr="007A72E6" w:rsidRDefault="00712F6D" w:rsidP="00037A88">
            <w:pPr>
              <w:jc w:val="right"/>
              <w:rPr>
                <w:rFonts w:cs="Arial"/>
                <w:i/>
                <w:color w:val="000000"/>
                <w:szCs w:val="22"/>
              </w:rPr>
            </w:pPr>
            <w:r w:rsidRPr="007A72E6">
              <w:rPr>
                <w:rFonts w:cs="Arial"/>
                <w:i/>
                <w:color w:val="000000"/>
                <w:szCs w:val="22"/>
              </w:rPr>
              <w:t>50</w:t>
            </w:r>
          </w:p>
        </w:tc>
      </w:tr>
      <w:tr w:rsidR="00712F6D" w:rsidRPr="007A72E6" w:rsidTr="00712F6D">
        <w:tc>
          <w:tcPr>
            <w:tcW w:w="2399" w:type="dxa"/>
          </w:tcPr>
          <w:p w:rsidR="00712F6D" w:rsidRPr="007A72E6" w:rsidRDefault="00712F6D" w:rsidP="00037A88">
            <w:pPr>
              <w:rPr>
                <w:rFonts w:cs="Arial"/>
                <w:i/>
                <w:color w:val="000000"/>
                <w:lang w:eastAsia="en-GB"/>
              </w:rPr>
            </w:pPr>
          </w:p>
        </w:tc>
        <w:tc>
          <w:tcPr>
            <w:tcW w:w="2850" w:type="dxa"/>
            <w:vAlign w:val="bottom"/>
          </w:tcPr>
          <w:p w:rsidR="00712F6D" w:rsidRPr="007A72E6" w:rsidRDefault="00712F6D" w:rsidP="00037A88">
            <w:pPr>
              <w:rPr>
                <w:rFonts w:eastAsia="Calibri" w:cs="Arial"/>
                <w:i/>
                <w:color w:val="000000"/>
                <w:szCs w:val="22"/>
                <w:lang w:eastAsia="en-GB"/>
              </w:rPr>
            </w:pPr>
            <w:r w:rsidRPr="007A72E6">
              <w:rPr>
                <w:rFonts w:cs="Arial"/>
                <w:i/>
                <w:color w:val="000000"/>
                <w:lang w:eastAsia="en-GB"/>
              </w:rPr>
              <w:t>Paramedic/ care homes pilot</w:t>
            </w:r>
          </w:p>
        </w:tc>
        <w:tc>
          <w:tcPr>
            <w:tcW w:w="2202" w:type="dxa"/>
            <w:vAlign w:val="bottom"/>
          </w:tcPr>
          <w:p w:rsidR="00712F6D" w:rsidRPr="007A72E6" w:rsidRDefault="00712F6D" w:rsidP="00037A88">
            <w:pPr>
              <w:jc w:val="right"/>
              <w:rPr>
                <w:rFonts w:cs="Arial"/>
                <w:i/>
                <w:color w:val="000000"/>
                <w:szCs w:val="22"/>
              </w:rPr>
            </w:pPr>
            <w:r w:rsidRPr="007A72E6">
              <w:rPr>
                <w:rFonts w:cs="Arial"/>
                <w:i/>
                <w:color w:val="000000"/>
                <w:szCs w:val="22"/>
              </w:rPr>
              <w:t>50</w:t>
            </w:r>
          </w:p>
        </w:tc>
        <w:tc>
          <w:tcPr>
            <w:tcW w:w="2155" w:type="dxa"/>
            <w:vAlign w:val="bottom"/>
          </w:tcPr>
          <w:p w:rsidR="00712F6D" w:rsidRPr="007A72E6" w:rsidRDefault="00712F6D" w:rsidP="00037A88">
            <w:pPr>
              <w:jc w:val="right"/>
              <w:rPr>
                <w:rFonts w:cs="Arial"/>
                <w:i/>
                <w:color w:val="000000"/>
                <w:szCs w:val="22"/>
              </w:rPr>
            </w:pPr>
          </w:p>
        </w:tc>
      </w:tr>
      <w:tr w:rsidR="00712F6D" w:rsidRPr="007A72E6" w:rsidTr="00712F6D">
        <w:tc>
          <w:tcPr>
            <w:tcW w:w="2399" w:type="dxa"/>
          </w:tcPr>
          <w:p w:rsidR="00712F6D" w:rsidRPr="007A72E6" w:rsidRDefault="00712F6D" w:rsidP="00037A88">
            <w:pPr>
              <w:rPr>
                <w:rFonts w:cs="Arial"/>
                <w:i/>
                <w:color w:val="000000"/>
                <w:lang w:eastAsia="en-GB"/>
              </w:rPr>
            </w:pPr>
          </w:p>
        </w:tc>
        <w:tc>
          <w:tcPr>
            <w:tcW w:w="2850" w:type="dxa"/>
            <w:vAlign w:val="bottom"/>
          </w:tcPr>
          <w:p w:rsidR="00712F6D" w:rsidRPr="007A72E6" w:rsidRDefault="00712F6D" w:rsidP="00037A88">
            <w:pPr>
              <w:rPr>
                <w:rFonts w:eastAsia="Calibri" w:cs="Arial"/>
                <w:i/>
                <w:color w:val="000000"/>
                <w:szCs w:val="22"/>
                <w:lang w:eastAsia="en-GB"/>
              </w:rPr>
            </w:pPr>
            <w:r w:rsidRPr="007A72E6">
              <w:rPr>
                <w:rFonts w:cs="Arial"/>
                <w:i/>
                <w:color w:val="000000"/>
                <w:lang w:eastAsia="en-GB"/>
              </w:rPr>
              <w:t>H&amp;SC integration</w:t>
            </w:r>
          </w:p>
        </w:tc>
        <w:tc>
          <w:tcPr>
            <w:tcW w:w="2202" w:type="dxa"/>
            <w:vAlign w:val="bottom"/>
          </w:tcPr>
          <w:p w:rsidR="00712F6D" w:rsidRPr="007A72E6" w:rsidRDefault="00712F6D" w:rsidP="00037A88">
            <w:pPr>
              <w:jc w:val="right"/>
              <w:rPr>
                <w:rFonts w:cs="Arial"/>
                <w:i/>
                <w:color w:val="000000"/>
                <w:szCs w:val="22"/>
              </w:rPr>
            </w:pPr>
            <w:r w:rsidRPr="007A72E6">
              <w:rPr>
                <w:rFonts w:cs="Arial"/>
                <w:i/>
                <w:color w:val="000000"/>
                <w:szCs w:val="22"/>
              </w:rPr>
              <w:t>75</w:t>
            </w:r>
          </w:p>
        </w:tc>
        <w:tc>
          <w:tcPr>
            <w:tcW w:w="2155" w:type="dxa"/>
            <w:vAlign w:val="bottom"/>
          </w:tcPr>
          <w:p w:rsidR="00712F6D" w:rsidRPr="007A72E6" w:rsidRDefault="00712F6D" w:rsidP="00037A88">
            <w:pPr>
              <w:jc w:val="right"/>
              <w:rPr>
                <w:rFonts w:cs="Arial"/>
                <w:i/>
                <w:color w:val="000000"/>
                <w:szCs w:val="22"/>
              </w:rPr>
            </w:pPr>
          </w:p>
        </w:tc>
      </w:tr>
      <w:tr w:rsidR="00712F6D" w:rsidRPr="007A72E6" w:rsidTr="00712F6D">
        <w:tc>
          <w:tcPr>
            <w:tcW w:w="2399" w:type="dxa"/>
          </w:tcPr>
          <w:p w:rsidR="00712F6D" w:rsidRPr="007A72E6" w:rsidRDefault="00712F6D" w:rsidP="00037A88">
            <w:pPr>
              <w:rPr>
                <w:rFonts w:cs="Arial"/>
                <w:i/>
                <w:color w:val="000000"/>
                <w:lang w:eastAsia="en-GB"/>
              </w:rPr>
            </w:pPr>
          </w:p>
        </w:tc>
        <w:tc>
          <w:tcPr>
            <w:tcW w:w="2850" w:type="dxa"/>
            <w:vAlign w:val="bottom"/>
          </w:tcPr>
          <w:p w:rsidR="00712F6D" w:rsidRPr="007A72E6" w:rsidRDefault="00712F6D" w:rsidP="00037A88">
            <w:pPr>
              <w:rPr>
                <w:rFonts w:cs="Arial"/>
                <w:i/>
                <w:color w:val="000000"/>
                <w:lang w:eastAsia="en-GB"/>
              </w:rPr>
            </w:pPr>
            <w:r w:rsidRPr="007A72E6">
              <w:rPr>
                <w:rFonts w:cs="Arial"/>
                <w:i/>
                <w:color w:val="000000"/>
                <w:lang w:eastAsia="en-GB"/>
              </w:rPr>
              <w:t>Assistive technology</w:t>
            </w:r>
            <w:r>
              <w:rPr>
                <w:rFonts w:cs="Arial"/>
                <w:i/>
                <w:color w:val="000000"/>
                <w:lang w:eastAsia="en-GB"/>
              </w:rPr>
              <w:t xml:space="preserve"> </w:t>
            </w:r>
          </w:p>
        </w:tc>
        <w:tc>
          <w:tcPr>
            <w:tcW w:w="2202" w:type="dxa"/>
            <w:tcBorders>
              <w:bottom w:val="double" w:sz="4" w:space="0" w:color="auto"/>
            </w:tcBorders>
            <w:vAlign w:val="bottom"/>
          </w:tcPr>
          <w:p w:rsidR="00712F6D" w:rsidRPr="007A72E6" w:rsidRDefault="00712F6D" w:rsidP="00037A88">
            <w:pPr>
              <w:jc w:val="right"/>
              <w:rPr>
                <w:rFonts w:cs="Arial"/>
                <w:i/>
                <w:color w:val="000000"/>
                <w:szCs w:val="22"/>
              </w:rPr>
            </w:pPr>
            <w:r w:rsidRPr="007A72E6">
              <w:rPr>
                <w:rFonts w:cs="Arial"/>
                <w:i/>
                <w:color w:val="000000"/>
                <w:szCs w:val="22"/>
              </w:rPr>
              <w:t>50</w:t>
            </w:r>
          </w:p>
        </w:tc>
        <w:tc>
          <w:tcPr>
            <w:tcW w:w="2155" w:type="dxa"/>
            <w:tcBorders>
              <w:bottom w:val="double" w:sz="4" w:space="0" w:color="auto"/>
            </w:tcBorders>
            <w:vAlign w:val="bottom"/>
          </w:tcPr>
          <w:p w:rsidR="00712F6D" w:rsidRPr="007A72E6" w:rsidRDefault="00712F6D" w:rsidP="00037A88">
            <w:pPr>
              <w:jc w:val="right"/>
              <w:rPr>
                <w:rFonts w:cs="Arial"/>
                <w:i/>
                <w:color w:val="000000"/>
                <w:szCs w:val="22"/>
              </w:rPr>
            </w:pPr>
            <w:r w:rsidRPr="007A72E6">
              <w:rPr>
                <w:rFonts w:cs="Arial"/>
                <w:i/>
                <w:color w:val="000000"/>
                <w:szCs w:val="22"/>
              </w:rPr>
              <w:t>75</w:t>
            </w:r>
          </w:p>
        </w:tc>
      </w:tr>
      <w:tr w:rsidR="00712F6D" w:rsidTr="00712F6D">
        <w:tc>
          <w:tcPr>
            <w:tcW w:w="2399" w:type="dxa"/>
          </w:tcPr>
          <w:p w:rsidR="00712F6D" w:rsidRDefault="00712F6D" w:rsidP="00037A88">
            <w:pPr>
              <w:rPr>
                <w:rFonts w:cs="Arial"/>
                <w:b/>
                <w:bCs/>
                <w:color w:val="000000"/>
                <w:lang w:eastAsia="en-GB"/>
              </w:rPr>
            </w:pPr>
          </w:p>
        </w:tc>
        <w:tc>
          <w:tcPr>
            <w:tcW w:w="2850" w:type="dxa"/>
            <w:vAlign w:val="bottom"/>
          </w:tcPr>
          <w:p w:rsidR="00712F6D" w:rsidRPr="003C660E" w:rsidRDefault="00712F6D" w:rsidP="00037A88">
            <w:pPr>
              <w:rPr>
                <w:rFonts w:eastAsia="Calibri" w:cs="Arial"/>
                <w:b/>
                <w:bCs/>
                <w:color w:val="000000"/>
                <w:szCs w:val="22"/>
                <w:lang w:eastAsia="en-GB"/>
              </w:rPr>
            </w:pPr>
            <w:r>
              <w:rPr>
                <w:rFonts w:cs="Arial"/>
                <w:b/>
                <w:bCs/>
                <w:color w:val="000000"/>
                <w:lang w:eastAsia="en-GB"/>
              </w:rPr>
              <w:t>Total</w:t>
            </w:r>
          </w:p>
        </w:tc>
        <w:tc>
          <w:tcPr>
            <w:tcW w:w="2202" w:type="dxa"/>
            <w:tcBorders>
              <w:top w:val="double" w:sz="4" w:space="0" w:color="auto"/>
              <w:bottom w:val="double" w:sz="4" w:space="0" w:color="auto"/>
            </w:tcBorders>
            <w:vAlign w:val="bottom"/>
          </w:tcPr>
          <w:p w:rsidR="00712F6D" w:rsidRDefault="00712F6D" w:rsidP="00037A88">
            <w:pPr>
              <w:jc w:val="right"/>
              <w:rPr>
                <w:rFonts w:cs="Arial"/>
                <w:b/>
                <w:bCs/>
                <w:color w:val="000000"/>
                <w:szCs w:val="22"/>
              </w:rPr>
            </w:pPr>
            <w:r w:rsidRPr="007A72E6">
              <w:rPr>
                <w:rFonts w:cs="Arial"/>
                <w:b/>
                <w:bCs/>
                <w:color w:val="000000"/>
                <w:szCs w:val="22"/>
              </w:rPr>
              <w:t>437.7</w:t>
            </w:r>
          </w:p>
        </w:tc>
        <w:tc>
          <w:tcPr>
            <w:tcW w:w="2155" w:type="dxa"/>
            <w:tcBorders>
              <w:top w:val="double" w:sz="4" w:space="0" w:color="auto"/>
              <w:bottom w:val="double" w:sz="4" w:space="0" w:color="auto"/>
            </w:tcBorders>
            <w:vAlign w:val="bottom"/>
          </w:tcPr>
          <w:p w:rsidR="00712F6D" w:rsidRDefault="00712F6D" w:rsidP="00037A88">
            <w:pPr>
              <w:jc w:val="right"/>
              <w:rPr>
                <w:rFonts w:cs="Arial"/>
                <w:b/>
                <w:bCs/>
                <w:color w:val="000000"/>
                <w:szCs w:val="22"/>
              </w:rPr>
            </w:pPr>
            <w:r>
              <w:rPr>
                <w:rFonts w:cs="Arial"/>
                <w:b/>
                <w:bCs/>
                <w:color w:val="000000"/>
                <w:szCs w:val="22"/>
              </w:rPr>
              <w:t xml:space="preserve">175.7 </w:t>
            </w:r>
          </w:p>
        </w:tc>
      </w:tr>
    </w:tbl>
    <w:p w:rsidR="001606E9" w:rsidRDefault="001606E9" w:rsidP="001606E9"/>
    <w:p w:rsidR="005441BD" w:rsidRDefault="005441BD">
      <w:pPr>
        <w:pStyle w:val="Heading2"/>
      </w:pPr>
      <w:r>
        <w:t>Performance Issues</w:t>
      </w:r>
    </w:p>
    <w:p w:rsidR="00A70D80" w:rsidRPr="00792370" w:rsidRDefault="006A03DE" w:rsidP="00A70D80">
      <w:pPr>
        <w:rPr>
          <w:sz w:val="24"/>
          <w:szCs w:val="24"/>
        </w:rPr>
      </w:pPr>
      <w:r w:rsidRPr="00792370">
        <w:rPr>
          <w:sz w:val="24"/>
          <w:szCs w:val="24"/>
        </w:rPr>
        <w:t xml:space="preserve">Through the focus of public health, we will be impacting on many of the Public Health Outcome Framework indicators. </w:t>
      </w:r>
      <w:r w:rsidR="00A54A7E" w:rsidRPr="00792370">
        <w:rPr>
          <w:sz w:val="24"/>
          <w:szCs w:val="24"/>
        </w:rPr>
        <w:t xml:space="preserve"> Public Health</w:t>
      </w:r>
      <w:r w:rsidR="00D26C4F" w:rsidRPr="00792370">
        <w:rPr>
          <w:sz w:val="24"/>
          <w:szCs w:val="24"/>
        </w:rPr>
        <w:t>,</w:t>
      </w:r>
      <w:r w:rsidR="00A54A7E" w:rsidRPr="00792370">
        <w:rPr>
          <w:sz w:val="24"/>
          <w:szCs w:val="24"/>
        </w:rPr>
        <w:t xml:space="preserve"> by its nature, depends on partnerships to achieve improvement.  Many of the public health indicators in the PHOF are not within the scope of the public health team to deliver on.  We report on a number of </w:t>
      </w:r>
      <w:r w:rsidR="00D26C4F" w:rsidRPr="00792370">
        <w:rPr>
          <w:sz w:val="24"/>
          <w:szCs w:val="24"/>
        </w:rPr>
        <w:t xml:space="preserve">corporate plan </w:t>
      </w:r>
      <w:r w:rsidR="00A54A7E" w:rsidRPr="00792370">
        <w:rPr>
          <w:sz w:val="24"/>
          <w:szCs w:val="24"/>
        </w:rPr>
        <w:t>indicators that are related to commissioned services</w:t>
      </w:r>
      <w:r w:rsidR="00A70D80" w:rsidRPr="00792370">
        <w:rPr>
          <w:sz w:val="24"/>
          <w:szCs w:val="24"/>
        </w:rPr>
        <w:t>.  We also</w:t>
      </w:r>
      <w:r w:rsidR="00A54A7E" w:rsidRPr="00792370">
        <w:rPr>
          <w:sz w:val="24"/>
          <w:szCs w:val="24"/>
        </w:rPr>
        <w:t xml:space="preserve"> monitor high level indicators of population health </w:t>
      </w:r>
      <w:r w:rsidR="00A70D80" w:rsidRPr="00792370">
        <w:rPr>
          <w:sz w:val="24"/>
          <w:szCs w:val="24"/>
        </w:rPr>
        <w:t>that contribute to the national and local ambition for increased healthy life expectancy and reduced differences in life expectancy and healthy life expectancy between communities.</w:t>
      </w:r>
    </w:p>
    <w:p w:rsidR="00A70D80" w:rsidRPr="00792370" w:rsidRDefault="00A70D80" w:rsidP="00A70D80">
      <w:pPr>
        <w:rPr>
          <w:sz w:val="24"/>
          <w:szCs w:val="24"/>
        </w:rPr>
      </w:pPr>
    </w:p>
    <w:p w:rsidR="00A70D80" w:rsidRPr="00792370" w:rsidRDefault="00A70D80" w:rsidP="00A70D80">
      <w:pPr>
        <w:rPr>
          <w:sz w:val="24"/>
          <w:szCs w:val="24"/>
        </w:rPr>
      </w:pPr>
      <w:r w:rsidRPr="00792370">
        <w:rPr>
          <w:sz w:val="24"/>
          <w:szCs w:val="24"/>
        </w:rPr>
        <w:t>Both life expectancy and healthy life expectancy in Harrow’s men and women continues to be higher than the England average</w:t>
      </w:r>
      <w:r w:rsidR="00AA24F9" w:rsidRPr="00792370">
        <w:rPr>
          <w:sz w:val="24"/>
          <w:szCs w:val="24"/>
        </w:rPr>
        <w:t xml:space="preserve">.  However, the inequalities in life expectancy </w:t>
      </w:r>
      <w:r w:rsidR="00FE5D57" w:rsidRPr="00792370">
        <w:rPr>
          <w:sz w:val="24"/>
          <w:szCs w:val="24"/>
        </w:rPr>
        <w:t xml:space="preserve">at birth </w:t>
      </w:r>
      <w:r w:rsidR="00AA24F9" w:rsidRPr="00792370">
        <w:rPr>
          <w:sz w:val="24"/>
          <w:szCs w:val="24"/>
        </w:rPr>
        <w:t xml:space="preserve">have increased in </w:t>
      </w:r>
      <w:r w:rsidR="0095662C" w:rsidRPr="00792370">
        <w:rPr>
          <w:sz w:val="24"/>
          <w:szCs w:val="24"/>
        </w:rPr>
        <w:t>from 5.7 to 7.0 years in men</w:t>
      </w:r>
      <w:r w:rsidR="00FE5D57" w:rsidRPr="00792370">
        <w:rPr>
          <w:sz w:val="24"/>
          <w:szCs w:val="24"/>
        </w:rPr>
        <w:t xml:space="preserve"> and from 3.3 to 5.0 years in women between 2010 and 2017</w:t>
      </w:r>
      <w:r w:rsidR="00AA24F9" w:rsidRPr="00792370">
        <w:rPr>
          <w:sz w:val="24"/>
          <w:szCs w:val="24"/>
        </w:rPr>
        <w:t>.</w:t>
      </w:r>
    </w:p>
    <w:p w:rsidR="00FB23F5" w:rsidRPr="00FB23F5" w:rsidRDefault="00FB23F5" w:rsidP="00FB23F5"/>
    <w:p w:rsidR="00792370" w:rsidRDefault="00792370" w:rsidP="00B36547">
      <w:pPr>
        <w:pStyle w:val="Heading2"/>
        <w:keepNext/>
      </w:pPr>
    </w:p>
    <w:p w:rsidR="00E446E9" w:rsidRDefault="00E446E9" w:rsidP="00B36547">
      <w:pPr>
        <w:pStyle w:val="Heading2"/>
        <w:keepNext/>
      </w:pPr>
      <w:r w:rsidRPr="00E446E9">
        <w:t>Environmental Impact</w:t>
      </w:r>
    </w:p>
    <w:p w:rsidR="001120D6" w:rsidRDefault="001120D6" w:rsidP="006A03DE">
      <w:pPr>
        <w:rPr>
          <w:b/>
        </w:rPr>
      </w:pPr>
    </w:p>
    <w:p w:rsidR="006A03DE" w:rsidRPr="00792370" w:rsidRDefault="006A03DE" w:rsidP="006A03DE">
      <w:pPr>
        <w:rPr>
          <w:sz w:val="24"/>
          <w:szCs w:val="24"/>
        </w:rPr>
      </w:pPr>
      <w:r w:rsidRPr="00792370">
        <w:rPr>
          <w:sz w:val="24"/>
          <w:szCs w:val="24"/>
        </w:rPr>
        <w:t xml:space="preserve">Through actions that impact on active travel, such as some of the travel actions as part of the Active Harrow group and the </w:t>
      </w:r>
      <w:proofErr w:type="spellStart"/>
      <w:r w:rsidRPr="00792370">
        <w:rPr>
          <w:sz w:val="24"/>
          <w:szCs w:val="24"/>
        </w:rPr>
        <w:t>Superzones</w:t>
      </w:r>
      <w:proofErr w:type="spellEnd"/>
      <w:r w:rsidRPr="00792370">
        <w:rPr>
          <w:sz w:val="24"/>
          <w:szCs w:val="24"/>
        </w:rPr>
        <w:t xml:space="preserve"> work, there will be an impact on rates of active travel and therefore on air pollution. </w:t>
      </w:r>
    </w:p>
    <w:p w:rsidR="001120D6" w:rsidRPr="00346E0F" w:rsidRDefault="001120D6" w:rsidP="001120D6">
      <w:pPr>
        <w:rPr>
          <w:highlight w:val="yellow"/>
        </w:rPr>
      </w:pPr>
    </w:p>
    <w:p w:rsidR="00915FD6" w:rsidRDefault="00915FD6" w:rsidP="00B36547">
      <w:pPr>
        <w:pStyle w:val="Heading2"/>
        <w:keepNext/>
      </w:pPr>
      <w:r>
        <w:t>Risk Management Implications</w:t>
      </w:r>
    </w:p>
    <w:p w:rsidR="00D4068D" w:rsidRPr="00D4068D" w:rsidRDefault="00D4068D" w:rsidP="00D4068D">
      <w:pPr>
        <w:ind w:right="81"/>
        <w:rPr>
          <w:rFonts w:cs="Arial"/>
          <w:szCs w:val="24"/>
          <w:lang w:val="en-US"/>
        </w:rPr>
      </w:pPr>
    </w:p>
    <w:p w:rsidR="00D4068D" w:rsidRPr="00792370" w:rsidRDefault="00D4068D" w:rsidP="00D4068D">
      <w:pPr>
        <w:tabs>
          <w:tab w:val="left" w:pos="5610"/>
        </w:tabs>
        <w:ind w:right="81"/>
        <w:rPr>
          <w:rFonts w:cs="Arial"/>
          <w:sz w:val="24"/>
          <w:szCs w:val="24"/>
          <w:lang w:val="en-US"/>
        </w:rPr>
      </w:pPr>
      <w:r w:rsidRPr="00792370">
        <w:rPr>
          <w:rFonts w:cs="Arial"/>
          <w:sz w:val="24"/>
          <w:szCs w:val="24"/>
          <w:lang w:val="en-US"/>
        </w:rPr>
        <w:t>Risk included on Directorate risk register?  No</w:t>
      </w:r>
      <w:r w:rsidRPr="00792370">
        <w:rPr>
          <w:rFonts w:cs="Arial"/>
          <w:sz w:val="24"/>
          <w:szCs w:val="24"/>
          <w:lang w:val="en-US"/>
        </w:rPr>
        <w:tab/>
      </w:r>
    </w:p>
    <w:p w:rsidR="00D4068D" w:rsidRPr="00D4068D" w:rsidRDefault="00D4068D" w:rsidP="00D4068D">
      <w:pPr>
        <w:ind w:right="141"/>
        <w:rPr>
          <w:rFonts w:cs="Arial"/>
          <w:szCs w:val="24"/>
          <w:lang w:val="en-US" w:eastAsia="en-GB"/>
        </w:rPr>
      </w:pPr>
      <w:r w:rsidRPr="00D4068D">
        <w:rPr>
          <w:rFonts w:cs="Arial"/>
          <w:szCs w:val="24"/>
          <w:lang w:val="en-US" w:eastAsia="en-GB"/>
        </w:rPr>
        <w:t> </w:t>
      </w:r>
    </w:p>
    <w:p w:rsidR="00D4068D" w:rsidRPr="00792370" w:rsidRDefault="00D4068D" w:rsidP="00D4068D">
      <w:pPr>
        <w:tabs>
          <w:tab w:val="left" w:pos="4488"/>
        </w:tabs>
        <w:ind w:right="141"/>
        <w:rPr>
          <w:rFonts w:cs="Arial"/>
          <w:sz w:val="24"/>
          <w:szCs w:val="24"/>
          <w:lang w:val="en-US" w:eastAsia="en-GB"/>
        </w:rPr>
      </w:pPr>
      <w:proofErr w:type="gramStart"/>
      <w:r w:rsidRPr="00792370">
        <w:rPr>
          <w:rFonts w:cs="Arial"/>
          <w:sz w:val="24"/>
          <w:szCs w:val="24"/>
          <w:lang w:val="en-US" w:eastAsia="en-GB"/>
        </w:rPr>
        <w:t>Separate risk register in place?</w:t>
      </w:r>
      <w:proofErr w:type="gramEnd"/>
      <w:r w:rsidRPr="00792370">
        <w:rPr>
          <w:rFonts w:cs="Arial"/>
          <w:sz w:val="24"/>
          <w:szCs w:val="24"/>
          <w:lang w:val="en-US" w:eastAsia="en-GB"/>
        </w:rPr>
        <w:t xml:space="preserve">  No</w:t>
      </w:r>
      <w:r w:rsidRPr="00792370">
        <w:rPr>
          <w:rFonts w:cs="Arial"/>
          <w:sz w:val="24"/>
          <w:szCs w:val="24"/>
          <w:lang w:val="en-US" w:eastAsia="en-GB"/>
        </w:rPr>
        <w:tab/>
      </w:r>
    </w:p>
    <w:p w:rsidR="00D4068D" w:rsidRPr="00D4068D" w:rsidRDefault="00D4068D" w:rsidP="00D4068D">
      <w:pPr>
        <w:ind w:right="141"/>
        <w:rPr>
          <w:rFonts w:cs="Arial"/>
          <w:szCs w:val="24"/>
          <w:lang w:val="en-US" w:eastAsia="en-GB"/>
        </w:rPr>
      </w:pPr>
      <w:r w:rsidRPr="00D4068D">
        <w:rPr>
          <w:rFonts w:cs="Arial"/>
          <w:szCs w:val="24"/>
          <w:lang w:val="en-US" w:eastAsia="en-GB"/>
        </w:rPr>
        <w:t> </w:t>
      </w:r>
    </w:p>
    <w:p w:rsidR="00B776F3" w:rsidRPr="004A2543" w:rsidRDefault="00B776F3" w:rsidP="00B776F3">
      <w:pPr>
        <w:pStyle w:val="Heading2"/>
        <w:keepNext/>
      </w:pPr>
      <w:r w:rsidRPr="004A2543">
        <w:t>Equalities implications</w:t>
      </w:r>
      <w:r w:rsidR="00F63742">
        <w:t xml:space="preserve"> / Public Sector Equality Duty  </w:t>
      </w:r>
    </w:p>
    <w:p w:rsidR="00B776F3" w:rsidRDefault="00B776F3" w:rsidP="001606E9"/>
    <w:p w:rsidR="001606E9" w:rsidRPr="00792370" w:rsidRDefault="00B776F3" w:rsidP="00B776F3">
      <w:pPr>
        <w:rPr>
          <w:sz w:val="24"/>
          <w:szCs w:val="24"/>
        </w:rPr>
      </w:pPr>
      <w:r w:rsidRPr="00792370">
        <w:rPr>
          <w:sz w:val="24"/>
          <w:szCs w:val="24"/>
        </w:rPr>
        <w:t xml:space="preserve">Was an Equality Impact Assessment carried out?  </w:t>
      </w:r>
    </w:p>
    <w:p w:rsidR="001606E9" w:rsidRPr="00792370" w:rsidRDefault="001606E9" w:rsidP="00B776F3">
      <w:pPr>
        <w:rPr>
          <w:sz w:val="24"/>
          <w:szCs w:val="24"/>
        </w:rPr>
      </w:pPr>
    </w:p>
    <w:p w:rsidR="006A03DE" w:rsidRPr="00792370" w:rsidRDefault="00B776F3" w:rsidP="001606E9">
      <w:pPr>
        <w:rPr>
          <w:rFonts w:cs="Arial"/>
          <w:sz w:val="24"/>
          <w:szCs w:val="24"/>
          <w:lang w:val="en-US"/>
        </w:rPr>
      </w:pPr>
      <w:r w:rsidRPr="00792370">
        <w:rPr>
          <w:sz w:val="24"/>
          <w:szCs w:val="24"/>
        </w:rPr>
        <w:t>No</w:t>
      </w:r>
      <w:r w:rsidR="001606E9" w:rsidRPr="00792370">
        <w:rPr>
          <w:sz w:val="24"/>
          <w:szCs w:val="24"/>
        </w:rPr>
        <w:t xml:space="preserve">.  </w:t>
      </w:r>
      <w:r w:rsidR="006A03DE" w:rsidRPr="00792370">
        <w:rPr>
          <w:rFonts w:cs="Arial"/>
          <w:sz w:val="24"/>
          <w:szCs w:val="24"/>
          <w:lang w:val="en-US"/>
        </w:rPr>
        <w:t>A core principle underpinning the work of public health is inequalities</w:t>
      </w:r>
      <w:r w:rsidR="001606E9" w:rsidRPr="00792370">
        <w:rPr>
          <w:rFonts w:cs="Arial"/>
          <w:sz w:val="24"/>
          <w:szCs w:val="24"/>
          <w:lang w:val="en-US"/>
        </w:rPr>
        <w:t xml:space="preserve"> and</w:t>
      </w:r>
      <w:r w:rsidR="006A03DE" w:rsidRPr="00792370">
        <w:rPr>
          <w:rFonts w:cs="Arial"/>
          <w:sz w:val="24"/>
          <w:szCs w:val="24"/>
          <w:lang w:val="en-US"/>
        </w:rPr>
        <w:t xml:space="preserve"> all of our work is informed by inequalities in health. </w:t>
      </w:r>
    </w:p>
    <w:p w:rsidR="0037540E" w:rsidRPr="00792370" w:rsidRDefault="0037540E" w:rsidP="00B776F3">
      <w:pPr>
        <w:ind w:right="141"/>
        <w:rPr>
          <w:rFonts w:cs="Arial"/>
          <w:sz w:val="24"/>
          <w:szCs w:val="24"/>
          <w:lang w:val="en-US"/>
        </w:rPr>
      </w:pPr>
    </w:p>
    <w:p w:rsidR="00AA1D1C" w:rsidRPr="00CD57D8" w:rsidRDefault="00777253" w:rsidP="00AA1D1C">
      <w:pPr>
        <w:pStyle w:val="Heading2"/>
      </w:pPr>
      <w:r>
        <w:t xml:space="preserve">Council </w:t>
      </w:r>
      <w:r w:rsidR="00AA1D1C" w:rsidRPr="00CD57D8">
        <w:t>Priorities</w:t>
      </w:r>
    </w:p>
    <w:p w:rsidR="00AA1D1C" w:rsidRDefault="00AA1D1C" w:rsidP="001606E9">
      <w:pPr>
        <w:rPr>
          <w:lang w:val="en-US"/>
        </w:rPr>
      </w:pPr>
    </w:p>
    <w:p w:rsidR="00930C42" w:rsidRPr="00930C42" w:rsidRDefault="00953226" w:rsidP="001606E9">
      <w:pPr>
        <w:rPr>
          <w:lang w:val="en-US"/>
        </w:rPr>
      </w:pPr>
      <w:r>
        <w:rPr>
          <w:lang w:val="en-US"/>
        </w:rPr>
        <w:t>Through the work of public health, all council priorities are being considered and are impacted</w:t>
      </w:r>
      <w:r w:rsidR="00930C42" w:rsidRPr="00930C42">
        <w:rPr>
          <w:lang w:val="en-US"/>
        </w:rPr>
        <w:t xml:space="preserve">. </w:t>
      </w:r>
    </w:p>
    <w:p w:rsidR="00930C42" w:rsidRPr="00930C42" w:rsidRDefault="00930C42" w:rsidP="001606E9">
      <w:pPr>
        <w:rPr>
          <w:lang w:val="en-US"/>
        </w:rPr>
      </w:pPr>
    </w:p>
    <w:p w:rsidR="00930C42" w:rsidRPr="00930C42" w:rsidRDefault="00930C42" w:rsidP="00930C42">
      <w:pPr>
        <w:pStyle w:val="ListParagraph"/>
        <w:numPr>
          <w:ilvl w:val="0"/>
          <w:numId w:val="34"/>
        </w:numPr>
        <w:autoSpaceDE w:val="0"/>
        <w:autoSpaceDN w:val="0"/>
        <w:contextualSpacing/>
        <w:rPr>
          <w:b/>
          <w:bCs/>
          <w:sz w:val="24"/>
        </w:rPr>
      </w:pPr>
      <w:r w:rsidRPr="00930C42">
        <w:rPr>
          <w:b/>
          <w:bCs/>
          <w:sz w:val="24"/>
        </w:rPr>
        <w:t>Building a Better Harrow</w:t>
      </w:r>
    </w:p>
    <w:p w:rsidR="00930C42" w:rsidRPr="00792370" w:rsidRDefault="00930C42" w:rsidP="00930C42">
      <w:pPr>
        <w:pStyle w:val="ListParagraph"/>
        <w:numPr>
          <w:ilvl w:val="0"/>
          <w:numId w:val="35"/>
        </w:numPr>
        <w:autoSpaceDE w:val="0"/>
        <w:autoSpaceDN w:val="0"/>
        <w:contextualSpacing/>
        <w:rPr>
          <w:sz w:val="24"/>
          <w:szCs w:val="24"/>
        </w:rPr>
      </w:pPr>
      <w:r w:rsidRPr="00792370">
        <w:rPr>
          <w:sz w:val="24"/>
          <w:szCs w:val="24"/>
        </w:rPr>
        <w:t>Create a thriving modern, inclusive and vibrant Harrow that people can be proud to call home</w:t>
      </w:r>
    </w:p>
    <w:p w:rsidR="00930C42" w:rsidRPr="00792370" w:rsidRDefault="00930C42" w:rsidP="00930C42">
      <w:pPr>
        <w:pStyle w:val="ListParagraph"/>
        <w:numPr>
          <w:ilvl w:val="0"/>
          <w:numId w:val="35"/>
        </w:numPr>
        <w:autoSpaceDE w:val="0"/>
        <w:autoSpaceDN w:val="0"/>
        <w:contextualSpacing/>
        <w:rPr>
          <w:sz w:val="24"/>
          <w:szCs w:val="24"/>
        </w:rPr>
      </w:pPr>
      <w:r w:rsidRPr="00792370">
        <w:rPr>
          <w:sz w:val="24"/>
          <w:szCs w:val="24"/>
        </w:rPr>
        <w:t>Increase the supply of genuinely affordable and quality housing for Harrow residents</w:t>
      </w:r>
    </w:p>
    <w:p w:rsidR="00930C42" w:rsidRPr="00792370" w:rsidRDefault="00930C42" w:rsidP="00930C42">
      <w:pPr>
        <w:pStyle w:val="ListParagraph"/>
        <w:numPr>
          <w:ilvl w:val="0"/>
          <w:numId w:val="35"/>
        </w:numPr>
        <w:autoSpaceDE w:val="0"/>
        <w:autoSpaceDN w:val="0"/>
        <w:contextualSpacing/>
        <w:rPr>
          <w:sz w:val="24"/>
          <w:szCs w:val="24"/>
        </w:rPr>
      </w:pPr>
      <w:r w:rsidRPr="00792370">
        <w:rPr>
          <w:sz w:val="24"/>
          <w:szCs w:val="24"/>
        </w:rPr>
        <w:t>Ensure every Harrow child has a school place</w:t>
      </w:r>
    </w:p>
    <w:p w:rsidR="00930C42" w:rsidRPr="00792370" w:rsidRDefault="00930C42" w:rsidP="00930C42">
      <w:pPr>
        <w:pStyle w:val="ListParagraph"/>
        <w:numPr>
          <w:ilvl w:val="0"/>
          <w:numId w:val="35"/>
        </w:numPr>
        <w:autoSpaceDE w:val="0"/>
        <w:autoSpaceDN w:val="0"/>
        <w:contextualSpacing/>
        <w:rPr>
          <w:sz w:val="24"/>
          <w:szCs w:val="24"/>
        </w:rPr>
      </w:pPr>
      <w:r w:rsidRPr="00792370">
        <w:rPr>
          <w:sz w:val="24"/>
          <w:szCs w:val="24"/>
        </w:rPr>
        <w:t>Keep Harrow clean</w:t>
      </w:r>
    </w:p>
    <w:p w:rsidR="00930C42" w:rsidRPr="00792370" w:rsidRDefault="00930C42" w:rsidP="00930C42">
      <w:pPr>
        <w:pStyle w:val="ListParagraph"/>
        <w:numPr>
          <w:ilvl w:val="0"/>
          <w:numId w:val="35"/>
        </w:numPr>
        <w:autoSpaceDE w:val="0"/>
        <w:autoSpaceDN w:val="0"/>
        <w:contextualSpacing/>
        <w:rPr>
          <w:sz w:val="24"/>
          <w:szCs w:val="24"/>
        </w:rPr>
      </w:pPr>
      <w:r w:rsidRPr="00792370">
        <w:rPr>
          <w:sz w:val="24"/>
          <w:szCs w:val="24"/>
        </w:rPr>
        <w:t>More people are actively engaged in sporting, artistic and cultural activities in ways that improve physical and mental health and community cohesion</w:t>
      </w:r>
      <w:r w:rsidR="00792370">
        <w:rPr>
          <w:sz w:val="24"/>
          <w:szCs w:val="24"/>
        </w:rPr>
        <w:t>.</w:t>
      </w:r>
    </w:p>
    <w:p w:rsidR="00953226" w:rsidRDefault="00953226" w:rsidP="00953226">
      <w:pPr>
        <w:autoSpaceDE w:val="0"/>
        <w:autoSpaceDN w:val="0"/>
        <w:contextualSpacing/>
      </w:pPr>
    </w:p>
    <w:p w:rsidR="00953226" w:rsidRPr="00792370" w:rsidRDefault="00953226" w:rsidP="00953226">
      <w:pPr>
        <w:autoSpaceDE w:val="0"/>
        <w:autoSpaceDN w:val="0"/>
        <w:ind w:left="720"/>
        <w:contextualSpacing/>
        <w:rPr>
          <w:sz w:val="24"/>
          <w:szCs w:val="24"/>
        </w:rPr>
      </w:pPr>
      <w:r w:rsidRPr="00792370">
        <w:rPr>
          <w:sz w:val="24"/>
          <w:szCs w:val="24"/>
        </w:rPr>
        <w:t xml:space="preserve">Active Harrow work impacts on the above, building on wider determinants activity impacts on employment, community development and engagement. </w:t>
      </w:r>
    </w:p>
    <w:p w:rsidR="00930C42" w:rsidRPr="00930C42" w:rsidRDefault="00930C42" w:rsidP="00930C42">
      <w:pPr>
        <w:autoSpaceDE w:val="0"/>
        <w:autoSpaceDN w:val="0"/>
        <w:rPr>
          <w:b/>
          <w:bCs/>
        </w:rPr>
      </w:pPr>
    </w:p>
    <w:p w:rsidR="00930C42" w:rsidRPr="00930C42" w:rsidRDefault="00930C42" w:rsidP="00930C42">
      <w:pPr>
        <w:pStyle w:val="ListParagraph"/>
        <w:numPr>
          <w:ilvl w:val="0"/>
          <w:numId w:val="34"/>
        </w:numPr>
        <w:autoSpaceDE w:val="0"/>
        <w:autoSpaceDN w:val="0"/>
        <w:contextualSpacing/>
        <w:rPr>
          <w:b/>
          <w:bCs/>
          <w:sz w:val="24"/>
        </w:rPr>
      </w:pPr>
      <w:r w:rsidRPr="00930C42">
        <w:rPr>
          <w:b/>
          <w:bCs/>
          <w:sz w:val="24"/>
        </w:rPr>
        <w:t>Supporting Those Most in Need</w:t>
      </w:r>
    </w:p>
    <w:p w:rsidR="00930C42" w:rsidRPr="00792370" w:rsidRDefault="00930C42" w:rsidP="00930C42">
      <w:pPr>
        <w:pStyle w:val="ListParagraph"/>
        <w:numPr>
          <w:ilvl w:val="0"/>
          <w:numId w:val="36"/>
        </w:numPr>
        <w:autoSpaceDE w:val="0"/>
        <w:autoSpaceDN w:val="0"/>
        <w:contextualSpacing/>
        <w:rPr>
          <w:sz w:val="24"/>
          <w:szCs w:val="24"/>
        </w:rPr>
      </w:pPr>
      <w:r w:rsidRPr="00792370">
        <w:rPr>
          <w:sz w:val="24"/>
          <w:szCs w:val="24"/>
        </w:rPr>
        <w:t>Reduce levels of homelessness in the borough</w:t>
      </w:r>
    </w:p>
    <w:p w:rsidR="00930C42" w:rsidRPr="00792370" w:rsidRDefault="00930C42" w:rsidP="00930C42">
      <w:pPr>
        <w:pStyle w:val="ListParagraph"/>
        <w:numPr>
          <w:ilvl w:val="0"/>
          <w:numId w:val="36"/>
        </w:numPr>
        <w:autoSpaceDE w:val="0"/>
        <w:autoSpaceDN w:val="0"/>
        <w:contextualSpacing/>
        <w:rPr>
          <w:sz w:val="24"/>
          <w:szCs w:val="24"/>
        </w:rPr>
      </w:pPr>
      <w:r w:rsidRPr="00792370">
        <w:rPr>
          <w:sz w:val="24"/>
          <w:szCs w:val="24"/>
        </w:rPr>
        <w:t>Empower residents to maintain their well-being and independence</w:t>
      </w:r>
    </w:p>
    <w:p w:rsidR="00930C42" w:rsidRPr="00792370" w:rsidRDefault="00930C42" w:rsidP="00930C42">
      <w:pPr>
        <w:pStyle w:val="ListParagraph"/>
        <w:numPr>
          <w:ilvl w:val="0"/>
          <w:numId w:val="36"/>
        </w:numPr>
        <w:autoSpaceDE w:val="0"/>
        <w:autoSpaceDN w:val="0"/>
        <w:contextualSpacing/>
        <w:rPr>
          <w:sz w:val="24"/>
          <w:szCs w:val="24"/>
        </w:rPr>
      </w:pPr>
      <w:r w:rsidRPr="00792370">
        <w:rPr>
          <w:sz w:val="24"/>
          <w:szCs w:val="24"/>
        </w:rPr>
        <w:t>Children and young people are given the opportunities to have the best start in life and families can thrive</w:t>
      </w:r>
    </w:p>
    <w:p w:rsidR="00930C42" w:rsidRPr="00792370" w:rsidRDefault="00930C42" w:rsidP="00930C42">
      <w:pPr>
        <w:pStyle w:val="ListParagraph"/>
        <w:numPr>
          <w:ilvl w:val="0"/>
          <w:numId w:val="36"/>
        </w:numPr>
        <w:autoSpaceDE w:val="0"/>
        <w:autoSpaceDN w:val="0"/>
        <w:contextualSpacing/>
        <w:rPr>
          <w:sz w:val="24"/>
          <w:szCs w:val="24"/>
        </w:rPr>
      </w:pPr>
      <w:r w:rsidRPr="00792370">
        <w:rPr>
          <w:sz w:val="24"/>
          <w:szCs w:val="24"/>
        </w:rPr>
        <w:t>Reduce the gap in life expectancy in the borough</w:t>
      </w:r>
    </w:p>
    <w:p w:rsidR="00953226" w:rsidRPr="00792370" w:rsidRDefault="00953226" w:rsidP="00953226">
      <w:pPr>
        <w:autoSpaceDE w:val="0"/>
        <w:autoSpaceDN w:val="0"/>
        <w:contextualSpacing/>
        <w:rPr>
          <w:sz w:val="24"/>
          <w:szCs w:val="24"/>
        </w:rPr>
      </w:pPr>
    </w:p>
    <w:p w:rsidR="00953226" w:rsidRPr="00792370" w:rsidRDefault="00953226" w:rsidP="00953226">
      <w:pPr>
        <w:autoSpaceDE w:val="0"/>
        <w:autoSpaceDN w:val="0"/>
        <w:ind w:left="720"/>
        <w:contextualSpacing/>
        <w:rPr>
          <w:sz w:val="24"/>
          <w:szCs w:val="24"/>
        </w:rPr>
      </w:pPr>
      <w:r w:rsidRPr="00792370">
        <w:rPr>
          <w:sz w:val="24"/>
          <w:szCs w:val="24"/>
        </w:rPr>
        <w:t xml:space="preserve">All work of public health is looking to reduce the gap in life expectancy through addressing health inequalities. </w:t>
      </w:r>
    </w:p>
    <w:p w:rsidR="00953226" w:rsidRPr="00792370" w:rsidRDefault="00953226" w:rsidP="00953226">
      <w:pPr>
        <w:autoSpaceDE w:val="0"/>
        <w:autoSpaceDN w:val="0"/>
        <w:ind w:left="720"/>
        <w:contextualSpacing/>
        <w:rPr>
          <w:sz w:val="24"/>
          <w:szCs w:val="24"/>
        </w:rPr>
      </w:pPr>
    </w:p>
    <w:p w:rsidR="00953226" w:rsidRPr="00792370" w:rsidRDefault="00953226" w:rsidP="00953226">
      <w:pPr>
        <w:autoSpaceDE w:val="0"/>
        <w:autoSpaceDN w:val="0"/>
        <w:ind w:left="720"/>
        <w:contextualSpacing/>
        <w:rPr>
          <w:sz w:val="24"/>
          <w:szCs w:val="24"/>
        </w:rPr>
      </w:pPr>
      <w:r w:rsidRPr="00792370">
        <w:rPr>
          <w:sz w:val="24"/>
          <w:szCs w:val="24"/>
        </w:rPr>
        <w:t xml:space="preserve">The 0-19 service aims to give children the best start in life, and there are higher levels of service offered to the more vulnerable families. </w:t>
      </w:r>
    </w:p>
    <w:p w:rsidR="00930C42" w:rsidRPr="00930C42" w:rsidRDefault="00930C42" w:rsidP="00930C42">
      <w:pPr>
        <w:autoSpaceDE w:val="0"/>
        <w:autoSpaceDN w:val="0"/>
        <w:rPr>
          <w:b/>
          <w:bCs/>
        </w:rPr>
      </w:pPr>
    </w:p>
    <w:p w:rsidR="00930C42" w:rsidRPr="00930C42" w:rsidRDefault="00930C42" w:rsidP="00930C42">
      <w:pPr>
        <w:pStyle w:val="ListParagraph"/>
        <w:numPr>
          <w:ilvl w:val="0"/>
          <w:numId w:val="34"/>
        </w:numPr>
        <w:autoSpaceDE w:val="0"/>
        <w:autoSpaceDN w:val="0"/>
        <w:contextualSpacing/>
        <w:rPr>
          <w:b/>
          <w:bCs/>
          <w:sz w:val="24"/>
        </w:rPr>
      </w:pPr>
      <w:r w:rsidRPr="00930C42">
        <w:rPr>
          <w:b/>
          <w:bCs/>
          <w:sz w:val="24"/>
        </w:rPr>
        <w:t>Protecting Vital Public Services</w:t>
      </w:r>
    </w:p>
    <w:p w:rsidR="00930C42" w:rsidRPr="00792370" w:rsidRDefault="00930C42" w:rsidP="00930C42">
      <w:pPr>
        <w:pStyle w:val="ListParagraph"/>
        <w:numPr>
          <w:ilvl w:val="0"/>
          <w:numId w:val="37"/>
        </w:numPr>
        <w:autoSpaceDE w:val="0"/>
        <w:autoSpaceDN w:val="0"/>
        <w:contextualSpacing/>
        <w:rPr>
          <w:sz w:val="24"/>
          <w:szCs w:val="24"/>
        </w:rPr>
      </w:pPr>
      <w:r w:rsidRPr="00792370">
        <w:rPr>
          <w:sz w:val="24"/>
          <w:szCs w:val="24"/>
        </w:rPr>
        <w:t>Harrow has a transport infrastructure that supports economic growth, improves accessibility and supports healthy lifestyles</w:t>
      </w:r>
    </w:p>
    <w:p w:rsidR="00930C42" w:rsidRPr="00792370" w:rsidRDefault="00930C42" w:rsidP="00930C42">
      <w:pPr>
        <w:pStyle w:val="ListParagraph"/>
        <w:numPr>
          <w:ilvl w:val="0"/>
          <w:numId w:val="37"/>
        </w:numPr>
        <w:autoSpaceDE w:val="0"/>
        <w:autoSpaceDN w:val="0"/>
        <w:contextualSpacing/>
        <w:rPr>
          <w:sz w:val="24"/>
          <w:szCs w:val="24"/>
        </w:rPr>
      </w:pPr>
      <w:r w:rsidRPr="00792370">
        <w:rPr>
          <w:sz w:val="24"/>
          <w:szCs w:val="24"/>
        </w:rPr>
        <w:lastRenderedPageBreak/>
        <w:t>Healthcare services meet the needs of Harrow residents</w:t>
      </w:r>
    </w:p>
    <w:p w:rsidR="00930C42" w:rsidRPr="00792370" w:rsidRDefault="00930C42" w:rsidP="00930C42">
      <w:pPr>
        <w:pStyle w:val="ListParagraph"/>
        <w:numPr>
          <w:ilvl w:val="0"/>
          <w:numId w:val="37"/>
        </w:numPr>
        <w:autoSpaceDE w:val="0"/>
        <w:autoSpaceDN w:val="0"/>
        <w:contextualSpacing/>
        <w:rPr>
          <w:sz w:val="24"/>
          <w:szCs w:val="24"/>
        </w:rPr>
      </w:pPr>
      <w:r w:rsidRPr="00792370">
        <w:rPr>
          <w:sz w:val="24"/>
          <w:szCs w:val="24"/>
        </w:rPr>
        <w:t>Everyone has access to high quality education</w:t>
      </w:r>
    </w:p>
    <w:p w:rsidR="00930C42" w:rsidRPr="00792370" w:rsidRDefault="00930C42" w:rsidP="00930C42">
      <w:pPr>
        <w:pStyle w:val="ListParagraph"/>
        <w:numPr>
          <w:ilvl w:val="0"/>
          <w:numId w:val="37"/>
        </w:numPr>
        <w:autoSpaceDE w:val="0"/>
        <w:autoSpaceDN w:val="0"/>
        <w:contextualSpacing/>
        <w:rPr>
          <w:sz w:val="24"/>
          <w:szCs w:val="24"/>
        </w:rPr>
      </w:pPr>
      <w:r w:rsidRPr="00792370">
        <w:rPr>
          <w:sz w:val="24"/>
          <w:szCs w:val="24"/>
        </w:rPr>
        <w:t>A strong and resourceful community sector, able to come together to deal with local issues</w:t>
      </w:r>
    </w:p>
    <w:p w:rsidR="00930C42" w:rsidRPr="00792370" w:rsidRDefault="00930C42" w:rsidP="00930C42">
      <w:pPr>
        <w:pStyle w:val="ListParagraph"/>
        <w:numPr>
          <w:ilvl w:val="0"/>
          <w:numId w:val="37"/>
        </w:numPr>
        <w:autoSpaceDE w:val="0"/>
        <w:autoSpaceDN w:val="0"/>
        <w:contextualSpacing/>
        <w:rPr>
          <w:sz w:val="24"/>
          <w:szCs w:val="24"/>
        </w:rPr>
      </w:pPr>
      <w:r w:rsidRPr="00792370">
        <w:rPr>
          <w:sz w:val="24"/>
          <w:szCs w:val="24"/>
        </w:rPr>
        <w:t>Harrow continues to be one of the safest boroughs in London</w:t>
      </w:r>
      <w:r w:rsidR="00792370" w:rsidRPr="00792370">
        <w:rPr>
          <w:sz w:val="24"/>
          <w:szCs w:val="24"/>
        </w:rPr>
        <w:t>.</w:t>
      </w:r>
    </w:p>
    <w:p w:rsidR="00953226" w:rsidRPr="00792370" w:rsidRDefault="00953226" w:rsidP="00953226">
      <w:pPr>
        <w:autoSpaceDE w:val="0"/>
        <w:autoSpaceDN w:val="0"/>
        <w:contextualSpacing/>
        <w:rPr>
          <w:sz w:val="24"/>
          <w:szCs w:val="24"/>
        </w:rPr>
      </w:pPr>
    </w:p>
    <w:p w:rsidR="00953226" w:rsidRPr="00792370" w:rsidRDefault="00953226" w:rsidP="00953226">
      <w:pPr>
        <w:autoSpaceDE w:val="0"/>
        <w:autoSpaceDN w:val="0"/>
        <w:ind w:left="720"/>
        <w:contextualSpacing/>
        <w:rPr>
          <w:sz w:val="24"/>
          <w:szCs w:val="24"/>
        </w:rPr>
      </w:pPr>
      <w:r w:rsidRPr="00792370">
        <w:rPr>
          <w:sz w:val="24"/>
          <w:szCs w:val="24"/>
        </w:rPr>
        <w:t xml:space="preserve">Through working with transport we are aiming to support transport infrastructure.  Health care public health work with the CCG aims to ensure health care services meet the needs of Harrow residents. </w:t>
      </w:r>
    </w:p>
    <w:p w:rsidR="00930C42" w:rsidRPr="00930C42" w:rsidRDefault="00930C42" w:rsidP="00930C42">
      <w:pPr>
        <w:autoSpaceDE w:val="0"/>
        <w:autoSpaceDN w:val="0"/>
      </w:pPr>
    </w:p>
    <w:p w:rsidR="00930C42" w:rsidRPr="00930C42" w:rsidRDefault="00930C42" w:rsidP="00930C42">
      <w:pPr>
        <w:pStyle w:val="ListParagraph"/>
        <w:numPr>
          <w:ilvl w:val="0"/>
          <w:numId w:val="34"/>
        </w:numPr>
        <w:autoSpaceDE w:val="0"/>
        <w:autoSpaceDN w:val="0"/>
        <w:contextualSpacing/>
        <w:rPr>
          <w:b/>
          <w:sz w:val="24"/>
        </w:rPr>
      </w:pPr>
      <w:r w:rsidRPr="00930C42">
        <w:rPr>
          <w:b/>
          <w:sz w:val="24"/>
        </w:rPr>
        <w:t xml:space="preserve">Delivering a Strong </w:t>
      </w:r>
      <w:r w:rsidRPr="00930C42">
        <w:rPr>
          <w:b/>
          <w:bCs/>
          <w:sz w:val="24"/>
        </w:rPr>
        <w:t>local</w:t>
      </w:r>
      <w:r w:rsidRPr="00930C42">
        <w:rPr>
          <w:b/>
          <w:sz w:val="24"/>
        </w:rPr>
        <w:t xml:space="preserve"> Economy for All</w:t>
      </w:r>
    </w:p>
    <w:p w:rsidR="00930C42" w:rsidRPr="00792370" w:rsidRDefault="00930C42" w:rsidP="00930C42">
      <w:pPr>
        <w:pStyle w:val="ListParagraph"/>
        <w:numPr>
          <w:ilvl w:val="0"/>
          <w:numId w:val="38"/>
        </w:numPr>
        <w:autoSpaceDE w:val="0"/>
        <w:autoSpaceDN w:val="0"/>
        <w:contextualSpacing/>
        <w:rPr>
          <w:sz w:val="24"/>
          <w:szCs w:val="24"/>
        </w:rPr>
      </w:pPr>
      <w:r w:rsidRPr="00792370">
        <w:rPr>
          <w:sz w:val="24"/>
          <w:szCs w:val="24"/>
        </w:rPr>
        <w:t>A strong, vibrant local economy where local businesses and thrive and grow</w:t>
      </w:r>
    </w:p>
    <w:p w:rsidR="00930C42" w:rsidRPr="00792370" w:rsidRDefault="00930C42" w:rsidP="00930C42">
      <w:pPr>
        <w:pStyle w:val="ListParagraph"/>
        <w:numPr>
          <w:ilvl w:val="0"/>
          <w:numId w:val="38"/>
        </w:numPr>
        <w:autoSpaceDE w:val="0"/>
        <w:autoSpaceDN w:val="0"/>
        <w:contextualSpacing/>
        <w:rPr>
          <w:sz w:val="24"/>
          <w:szCs w:val="24"/>
        </w:rPr>
      </w:pPr>
      <w:r w:rsidRPr="00792370">
        <w:rPr>
          <w:sz w:val="24"/>
          <w:szCs w:val="24"/>
        </w:rPr>
        <w:t>Reduce levels of in-work poverty and improve people’s job opportunities</w:t>
      </w:r>
    </w:p>
    <w:p w:rsidR="00930C42" w:rsidRPr="00792370" w:rsidRDefault="00930C42" w:rsidP="00930C42">
      <w:pPr>
        <w:pStyle w:val="ListParagraph"/>
        <w:numPr>
          <w:ilvl w:val="0"/>
          <w:numId w:val="38"/>
        </w:numPr>
        <w:autoSpaceDE w:val="0"/>
        <w:autoSpaceDN w:val="0"/>
        <w:contextualSpacing/>
        <w:rPr>
          <w:sz w:val="24"/>
          <w:szCs w:val="24"/>
        </w:rPr>
      </w:pPr>
      <w:r w:rsidRPr="00792370">
        <w:rPr>
          <w:sz w:val="24"/>
          <w:szCs w:val="24"/>
        </w:rPr>
        <w:t>Harrow is a place where people and businesses invest</w:t>
      </w:r>
    </w:p>
    <w:p w:rsidR="00953226" w:rsidRPr="00792370" w:rsidRDefault="00953226" w:rsidP="00953226">
      <w:pPr>
        <w:autoSpaceDE w:val="0"/>
        <w:autoSpaceDN w:val="0"/>
        <w:contextualSpacing/>
        <w:rPr>
          <w:sz w:val="24"/>
          <w:szCs w:val="24"/>
        </w:rPr>
      </w:pPr>
    </w:p>
    <w:p w:rsidR="00953226" w:rsidRPr="00792370" w:rsidRDefault="00953226" w:rsidP="00953226">
      <w:pPr>
        <w:autoSpaceDE w:val="0"/>
        <w:autoSpaceDN w:val="0"/>
        <w:ind w:left="720"/>
        <w:contextualSpacing/>
        <w:rPr>
          <w:sz w:val="24"/>
          <w:szCs w:val="24"/>
        </w:rPr>
      </w:pPr>
      <w:r w:rsidRPr="00792370">
        <w:rPr>
          <w:sz w:val="24"/>
          <w:szCs w:val="24"/>
        </w:rPr>
        <w:t xml:space="preserve">Wider determinants of health work particularly looking at employment services supports this objective. </w:t>
      </w:r>
    </w:p>
    <w:p w:rsidR="00930C42" w:rsidRPr="00930C42" w:rsidRDefault="00930C42" w:rsidP="00930C42">
      <w:pPr>
        <w:autoSpaceDE w:val="0"/>
        <w:autoSpaceDN w:val="0"/>
      </w:pPr>
    </w:p>
    <w:p w:rsidR="00930C42" w:rsidRPr="00930C42" w:rsidRDefault="00930C42" w:rsidP="00930C42">
      <w:pPr>
        <w:pStyle w:val="ListParagraph"/>
        <w:numPr>
          <w:ilvl w:val="0"/>
          <w:numId w:val="34"/>
        </w:numPr>
        <w:autoSpaceDE w:val="0"/>
        <w:autoSpaceDN w:val="0"/>
        <w:contextualSpacing/>
        <w:rPr>
          <w:b/>
          <w:bCs/>
          <w:sz w:val="24"/>
        </w:rPr>
      </w:pPr>
      <w:r w:rsidRPr="00930C42">
        <w:rPr>
          <w:b/>
          <w:sz w:val="24"/>
        </w:rPr>
        <w:t>Modernising</w:t>
      </w:r>
      <w:r w:rsidRPr="00930C42">
        <w:rPr>
          <w:b/>
          <w:bCs/>
          <w:sz w:val="24"/>
        </w:rPr>
        <w:t xml:space="preserve"> Harrow Council</w:t>
      </w:r>
    </w:p>
    <w:p w:rsidR="00930C42" w:rsidRPr="00792370" w:rsidRDefault="00930C42" w:rsidP="00930C42">
      <w:pPr>
        <w:pStyle w:val="ListParagraph"/>
        <w:numPr>
          <w:ilvl w:val="0"/>
          <w:numId w:val="39"/>
        </w:numPr>
        <w:autoSpaceDE w:val="0"/>
        <w:autoSpaceDN w:val="0"/>
        <w:contextualSpacing/>
        <w:rPr>
          <w:sz w:val="24"/>
          <w:szCs w:val="24"/>
        </w:rPr>
      </w:pPr>
      <w:r w:rsidRPr="00792370">
        <w:rPr>
          <w:sz w:val="24"/>
          <w:szCs w:val="24"/>
        </w:rPr>
        <w:t>Deliver excellent value for money services</w:t>
      </w:r>
    </w:p>
    <w:p w:rsidR="00930C42" w:rsidRPr="00792370" w:rsidRDefault="00930C42" w:rsidP="00930C42">
      <w:pPr>
        <w:pStyle w:val="ListParagraph"/>
        <w:numPr>
          <w:ilvl w:val="0"/>
          <w:numId w:val="39"/>
        </w:numPr>
        <w:autoSpaceDE w:val="0"/>
        <w:autoSpaceDN w:val="0"/>
        <w:contextualSpacing/>
        <w:rPr>
          <w:sz w:val="24"/>
          <w:szCs w:val="24"/>
        </w:rPr>
      </w:pPr>
      <w:r w:rsidRPr="00792370">
        <w:rPr>
          <w:sz w:val="24"/>
          <w:szCs w:val="24"/>
        </w:rPr>
        <w:t>Reduce the borough’s carbon footprint</w:t>
      </w:r>
    </w:p>
    <w:p w:rsidR="00930C42" w:rsidRPr="00792370" w:rsidRDefault="00930C42" w:rsidP="00930C42">
      <w:pPr>
        <w:pStyle w:val="ListParagraph"/>
        <w:numPr>
          <w:ilvl w:val="0"/>
          <w:numId w:val="39"/>
        </w:numPr>
        <w:autoSpaceDE w:val="0"/>
        <w:autoSpaceDN w:val="0"/>
        <w:contextualSpacing/>
        <w:rPr>
          <w:sz w:val="24"/>
          <w:szCs w:val="24"/>
        </w:rPr>
      </w:pPr>
      <w:r w:rsidRPr="00792370">
        <w:rPr>
          <w:sz w:val="24"/>
          <w:szCs w:val="24"/>
        </w:rPr>
        <w:t>Use technology and innovation to modernise how the Council works</w:t>
      </w:r>
    </w:p>
    <w:p w:rsidR="00930C42" w:rsidRPr="00792370" w:rsidRDefault="00930C42" w:rsidP="00930C42">
      <w:pPr>
        <w:pStyle w:val="ListParagraph"/>
        <w:numPr>
          <w:ilvl w:val="0"/>
          <w:numId w:val="39"/>
        </w:numPr>
        <w:autoSpaceDE w:val="0"/>
        <w:autoSpaceDN w:val="0"/>
        <w:contextualSpacing/>
        <w:rPr>
          <w:sz w:val="24"/>
          <w:szCs w:val="24"/>
        </w:rPr>
      </w:pPr>
      <w:r w:rsidRPr="00792370">
        <w:rPr>
          <w:sz w:val="24"/>
          <w:szCs w:val="24"/>
        </w:rPr>
        <w:t>Improving access to digital services</w:t>
      </w:r>
      <w:r w:rsidR="00792370" w:rsidRPr="00792370">
        <w:rPr>
          <w:sz w:val="24"/>
          <w:szCs w:val="24"/>
        </w:rPr>
        <w:t>.</w:t>
      </w:r>
    </w:p>
    <w:p w:rsidR="00930C42" w:rsidRPr="00792370" w:rsidRDefault="00930C42" w:rsidP="00930C42">
      <w:pPr>
        <w:rPr>
          <w:sz w:val="24"/>
          <w:szCs w:val="24"/>
        </w:rPr>
      </w:pPr>
    </w:p>
    <w:p w:rsidR="00953226" w:rsidRPr="00792370" w:rsidRDefault="00953226" w:rsidP="00953226">
      <w:pPr>
        <w:ind w:left="720"/>
        <w:rPr>
          <w:sz w:val="24"/>
          <w:szCs w:val="24"/>
        </w:rPr>
      </w:pPr>
      <w:r w:rsidRPr="00792370">
        <w:rPr>
          <w:sz w:val="24"/>
          <w:szCs w:val="24"/>
        </w:rPr>
        <w:t xml:space="preserve">Active travel work reduces the borough’s carbon footprint. </w:t>
      </w:r>
    </w:p>
    <w:p w:rsidR="00D86C2E" w:rsidRPr="00612A64" w:rsidRDefault="00D86C2E" w:rsidP="00612A64">
      <w:pPr>
        <w:rPr>
          <w:rFonts w:ascii="Times New Roman" w:hAnsi="Times New Roman"/>
          <w:szCs w:val="24"/>
          <w:lang w:val="en-US"/>
        </w:rPr>
      </w:pPr>
    </w:p>
    <w:p w:rsidR="005441BD" w:rsidRDefault="005441BD" w:rsidP="000417A4">
      <w:pPr>
        <w:pStyle w:val="Heading1"/>
        <w:keepNext/>
      </w:pPr>
      <w:r>
        <w:t>Section 3 - Statutory Officer Clearance</w:t>
      </w:r>
    </w:p>
    <w:p w:rsidR="00F47265" w:rsidRDefault="00F47265" w:rsidP="00F47265"/>
    <w:p w:rsidR="00F47265" w:rsidRDefault="00F47265" w:rsidP="00F472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9"/>
        <w:gridCol w:w="400"/>
        <w:gridCol w:w="244"/>
        <w:gridCol w:w="4019"/>
      </w:tblGrid>
      <w:tr w:rsidR="00F47265" w:rsidTr="00213EB6">
        <w:tc>
          <w:tcPr>
            <w:tcW w:w="4752" w:type="dxa"/>
            <w:tcBorders>
              <w:bottom w:val="nil"/>
              <w:right w:val="nil"/>
            </w:tcBorders>
          </w:tcPr>
          <w:p w:rsidR="00F47265" w:rsidRDefault="00F47265" w:rsidP="00213EB6">
            <w:pPr>
              <w:pStyle w:val="Infotext"/>
            </w:pPr>
          </w:p>
          <w:p w:rsidR="00F47265" w:rsidRDefault="00F47265" w:rsidP="00213EB6">
            <w:pPr>
              <w:pStyle w:val="Infotext"/>
            </w:pPr>
          </w:p>
        </w:tc>
        <w:tc>
          <w:tcPr>
            <w:tcW w:w="387" w:type="dxa"/>
            <w:tcBorders>
              <w:left w:val="nil"/>
              <w:right w:val="nil"/>
            </w:tcBorders>
          </w:tcPr>
          <w:p w:rsidR="00F47265" w:rsidRDefault="00F47265" w:rsidP="00213EB6">
            <w:pPr>
              <w:pStyle w:val="Infotext"/>
            </w:pPr>
          </w:p>
        </w:tc>
        <w:tc>
          <w:tcPr>
            <w:tcW w:w="236" w:type="dxa"/>
            <w:tcBorders>
              <w:left w:val="nil"/>
              <w:bottom w:val="nil"/>
              <w:right w:val="nil"/>
            </w:tcBorders>
          </w:tcPr>
          <w:p w:rsidR="00F47265" w:rsidRDefault="00F47265" w:rsidP="00213EB6">
            <w:pPr>
              <w:pStyle w:val="Infotext"/>
            </w:pPr>
          </w:p>
        </w:tc>
        <w:tc>
          <w:tcPr>
            <w:tcW w:w="3890" w:type="dxa"/>
            <w:tcBorders>
              <w:left w:val="nil"/>
              <w:bottom w:val="nil"/>
            </w:tcBorders>
          </w:tcPr>
          <w:p w:rsidR="00F47265" w:rsidRDefault="00F47265" w:rsidP="00213EB6">
            <w:pPr>
              <w:pStyle w:val="Infotext"/>
            </w:pPr>
          </w:p>
          <w:p w:rsidR="00F47265" w:rsidRDefault="00792370" w:rsidP="00792370">
            <w:pPr>
              <w:pStyle w:val="Infotext"/>
            </w:pPr>
            <w:r>
              <w:t>o</w:t>
            </w:r>
            <w:r>
              <w:t>n behalf</w:t>
            </w:r>
            <w:r>
              <w:t xml:space="preserve"> of the </w:t>
            </w:r>
          </w:p>
        </w:tc>
      </w:tr>
      <w:tr w:rsidR="00F47265" w:rsidTr="00213EB6">
        <w:tc>
          <w:tcPr>
            <w:tcW w:w="4752" w:type="dxa"/>
            <w:tcBorders>
              <w:top w:val="nil"/>
              <w:bottom w:val="nil"/>
            </w:tcBorders>
          </w:tcPr>
          <w:p w:rsidR="00F47265" w:rsidRDefault="00F47265" w:rsidP="00F47265">
            <w:pPr>
              <w:pStyle w:val="Infotext"/>
            </w:pPr>
            <w:r>
              <w:t>Name:  Donna Edwards</w:t>
            </w:r>
          </w:p>
        </w:tc>
        <w:tc>
          <w:tcPr>
            <w:tcW w:w="387" w:type="dxa"/>
            <w:tcBorders>
              <w:bottom w:val="single" w:sz="4" w:space="0" w:color="auto"/>
            </w:tcBorders>
          </w:tcPr>
          <w:p w:rsidR="00F47265" w:rsidRDefault="00792370" w:rsidP="00213EB6">
            <w:pPr>
              <w:pStyle w:val="Infotext"/>
            </w:pPr>
            <w:r>
              <w:t>x</w:t>
            </w:r>
          </w:p>
        </w:tc>
        <w:tc>
          <w:tcPr>
            <w:tcW w:w="236" w:type="dxa"/>
            <w:tcBorders>
              <w:top w:val="nil"/>
              <w:bottom w:val="nil"/>
              <w:right w:val="nil"/>
            </w:tcBorders>
          </w:tcPr>
          <w:p w:rsidR="00F47265" w:rsidRDefault="00F47265" w:rsidP="00213EB6">
            <w:pPr>
              <w:pStyle w:val="Infotext"/>
            </w:pPr>
          </w:p>
        </w:tc>
        <w:tc>
          <w:tcPr>
            <w:tcW w:w="3890" w:type="dxa"/>
            <w:tcBorders>
              <w:top w:val="nil"/>
              <w:left w:val="nil"/>
              <w:bottom w:val="nil"/>
            </w:tcBorders>
          </w:tcPr>
          <w:p w:rsidR="00F47265" w:rsidRDefault="00A302B7" w:rsidP="00792370">
            <w:pPr>
              <w:pStyle w:val="Infotext"/>
            </w:pPr>
            <w:r>
              <w:t xml:space="preserve">Chief Financial </w:t>
            </w:r>
            <w:r w:rsidR="00792370">
              <w:t>Officer</w:t>
            </w:r>
            <w:r>
              <w:t xml:space="preserve"> </w:t>
            </w:r>
          </w:p>
        </w:tc>
      </w:tr>
      <w:tr w:rsidR="00F47265" w:rsidTr="00213EB6">
        <w:tc>
          <w:tcPr>
            <w:tcW w:w="4752" w:type="dxa"/>
            <w:tcBorders>
              <w:top w:val="nil"/>
              <w:right w:val="nil"/>
            </w:tcBorders>
          </w:tcPr>
          <w:p w:rsidR="00792370" w:rsidRDefault="00792370" w:rsidP="00A302B7">
            <w:pPr>
              <w:pStyle w:val="Infotext"/>
            </w:pPr>
          </w:p>
          <w:p w:rsidR="00F47265" w:rsidRDefault="00F47265" w:rsidP="00A302B7">
            <w:pPr>
              <w:pStyle w:val="Infotext"/>
            </w:pPr>
            <w:r>
              <w:t>Date:  3 June 2019</w:t>
            </w:r>
          </w:p>
        </w:tc>
        <w:tc>
          <w:tcPr>
            <w:tcW w:w="387" w:type="dxa"/>
            <w:tcBorders>
              <w:left w:val="nil"/>
              <w:bottom w:val="single" w:sz="4" w:space="0" w:color="auto"/>
              <w:right w:val="nil"/>
            </w:tcBorders>
          </w:tcPr>
          <w:p w:rsidR="00F47265" w:rsidRDefault="00F47265" w:rsidP="00213EB6">
            <w:pPr>
              <w:pStyle w:val="Infotext"/>
            </w:pPr>
          </w:p>
        </w:tc>
        <w:tc>
          <w:tcPr>
            <w:tcW w:w="236" w:type="dxa"/>
            <w:tcBorders>
              <w:top w:val="nil"/>
              <w:left w:val="nil"/>
              <w:right w:val="nil"/>
            </w:tcBorders>
          </w:tcPr>
          <w:p w:rsidR="00F47265" w:rsidRDefault="00F47265" w:rsidP="00213EB6">
            <w:pPr>
              <w:pStyle w:val="Infotext"/>
            </w:pPr>
          </w:p>
        </w:tc>
        <w:tc>
          <w:tcPr>
            <w:tcW w:w="3890" w:type="dxa"/>
            <w:tcBorders>
              <w:top w:val="nil"/>
              <w:left w:val="nil"/>
            </w:tcBorders>
          </w:tcPr>
          <w:p w:rsidR="00F47265" w:rsidRDefault="00F47265" w:rsidP="00213EB6">
            <w:pPr>
              <w:pStyle w:val="Infotext"/>
            </w:pPr>
          </w:p>
        </w:tc>
      </w:tr>
    </w:tbl>
    <w:p w:rsidR="00F47265" w:rsidRDefault="00F47265" w:rsidP="00F47265"/>
    <w:p w:rsidR="00F47265" w:rsidRPr="006377D6" w:rsidRDefault="00F47265" w:rsidP="00F47265">
      <w:pPr>
        <w:pStyle w:val="Heading1"/>
        <w:keepNext/>
        <w:rPr>
          <w:sz w:val="24"/>
          <w:szCs w:val="24"/>
        </w:rPr>
      </w:pPr>
    </w:p>
    <w:p w:rsidR="00F47265" w:rsidRPr="00F47265" w:rsidRDefault="00F47265" w:rsidP="00F47265"/>
    <w:p w:rsidR="00F63742" w:rsidRDefault="00F63742" w:rsidP="00F637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9"/>
        <w:gridCol w:w="400"/>
        <w:gridCol w:w="244"/>
        <w:gridCol w:w="4019"/>
      </w:tblGrid>
      <w:tr w:rsidR="00F63742" w:rsidTr="001C1569">
        <w:tc>
          <w:tcPr>
            <w:tcW w:w="4752" w:type="dxa"/>
            <w:tcBorders>
              <w:bottom w:val="nil"/>
              <w:right w:val="nil"/>
            </w:tcBorders>
          </w:tcPr>
          <w:p w:rsidR="00F63742" w:rsidRDefault="00F63742" w:rsidP="001C1569">
            <w:pPr>
              <w:pStyle w:val="Infotext"/>
            </w:pPr>
          </w:p>
          <w:p w:rsidR="00F63742" w:rsidRDefault="00F63742" w:rsidP="001C1569">
            <w:pPr>
              <w:pStyle w:val="Infotext"/>
            </w:pPr>
          </w:p>
        </w:tc>
        <w:tc>
          <w:tcPr>
            <w:tcW w:w="387" w:type="dxa"/>
            <w:tcBorders>
              <w:left w:val="nil"/>
              <w:right w:val="nil"/>
            </w:tcBorders>
          </w:tcPr>
          <w:p w:rsidR="00F63742" w:rsidRDefault="00F63742" w:rsidP="001C1569">
            <w:pPr>
              <w:pStyle w:val="Infotext"/>
            </w:pPr>
          </w:p>
        </w:tc>
        <w:tc>
          <w:tcPr>
            <w:tcW w:w="236" w:type="dxa"/>
            <w:tcBorders>
              <w:left w:val="nil"/>
              <w:bottom w:val="nil"/>
              <w:right w:val="nil"/>
            </w:tcBorders>
          </w:tcPr>
          <w:p w:rsidR="00F63742" w:rsidRDefault="00F63742" w:rsidP="001C1569">
            <w:pPr>
              <w:pStyle w:val="Infotext"/>
            </w:pPr>
          </w:p>
        </w:tc>
        <w:tc>
          <w:tcPr>
            <w:tcW w:w="3890" w:type="dxa"/>
            <w:tcBorders>
              <w:left w:val="nil"/>
              <w:bottom w:val="nil"/>
            </w:tcBorders>
          </w:tcPr>
          <w:p w:rsidR="00F63742" w:rsidRDefault="00F63742" w:rsidP="001C1569">
            <w:pPr>
              <w:pStyle w:val="Infotext"/>
            </w:pPr>
          </w:p>
          <w:p w:rsidR="00F63742" w:rsidRDefault="00792370" w:rsidP="001C1569">
            <w:pPr>
              <w:pStyle w:val="Infotext"/>
            </w:pPr>
            <w:r>
              <w:t>Corporate Director</w:t>
            </w:r>
          </w:p>
        </w:tc>
      </w:tr>
      <w:tr w:rsidR="00F63742" w:rsidTr="001C1569">
        <w:tc>
          <w:tcPr>
            <w:tcW w:w="4752" w:type="dxa"/>
            <w:tcBorders>
              <w:top w:val="nil"/>
              <w:bottom w:val="nil"/>
            </w:tcBorders>
          </w:tcPr>
          <w:p w:rsidR="00F63742" w:rsidRDefault="00F63742" w:rsidP="007217F4">
            <w:pPr>
              <w:pStyle w:val="Infotext"/>
            </w:pPr>
            <w:r>
              <w:t xml:space="preserve">Name: </w:t>
            </w:r>
            <w:r w:rsidR="007217F4">
              <w:t xml:space="preserve"> </w:t>
            </w:r>
            <w:r w:rsidR="00F47265">
              <w:t>Paul Hewitt</w:t>
            </w:r>
          </w:p>
        </w:tc>
        <w:tc>
          <w:tcPr>
            <w:tcW w:w="387" w:type="dxa"/>
            <w:tcBorders>
              <w:bottom w:val="single" w:sz="4" w:space="0" w:color="auto"/>
            </w:tcBorders>
          </w:tcPr>
          <w:p w:rsidR="00F63742" w:rsidRDefault="00792370" w:rsidP="001C1569">
            <w:pPr>
              <w:pStyle w:val="Infotext"/>
            </w:pPr>
            <w:r>
              <w:t>x</w:t>
            </w:r>
          </w:p>
        </w:tc>
        <w:tc>
          <w:tcPr>
            <w:tcW w:w="236" w:type="dxa"/>
            <w:tcBorders>
              <w:top w:val="nil"/>
              <w:bottom w:val="nil"/>
              <w:right w:val="nil"/>
            </w:tcBorders>
          </w:tcPr>
          <w:p w:rsidR="00F63742" w:rsidRDefault="00F63742" w:rsidP="001C1569">
            <w:pPr>
              <w:pStyle w:val="Infotext"/>
            </w:pPr>
          </w:p>
        </w:tc>
        <w:tc>
          <w:tcPr>
            <w:tcW w:w="3890" w:type="dxa"/>
            <w:tcBorders>
              <w:top w:val="nil"/>
              <w:left w:val="nil"/>
              <w:bottom w:val="nil"/>
            </w:tcBorders>
          </w:tcPr>
          <w:p w:rsidR="00F63742" w:rsidRDefault="00F47265" w:rsidP="001C1569">
            <w:pPr>
              <w:pStyle w:val="Infotext"/>
            </w:pPr>
            <w:r>
              <w:t>of People Services</w:t>
            </w:r>
          </w:p>
        </w:tc>
      </w:tr>
      <w:tr w:rsidR="00F63742" w:rsidTr="001C1569">
        <w:tc>
          <w:tcPr>
            <w:tcW w:w="4752" w:type="dxa"/>
            <w:tcBorders>
              <w:top w:val="nil"/>
              <w:right w:val="nil"/>
            </w:tcBorders>
          </w:tcPr>
          <w:p w:rsidR="00F63742" w:rsidRDefault="00F63742" w:rsidP="001C1569">
            <w:pPr>
              <w:pStyle w:val="Infotext"/>
            </w:pPr>
            <w:r>
              <w:t xml:space="preserve"> </w:t>
            </w:r>
          </w:p>
          <w:p w:rsidR="00F63742" w:rsidRDefault="00F63742" w:rsidP="00BD0E4F">
            <w:pPr>
              <w:pStyle w:val="Infotext"/>
            </w:pPr>
            <w:r>
              <w:t xml:space="preserve">Date: </w:t>
            </w:r>
            <w:r w:rsidR="007217F4">
              <w:t xml:space="preserve"> </w:t>
            </w:r>
            <w:r w:rsidR="00F47265">
              <w:t>3 June 2019</w:t>
            </w:r>
          </w:p>
        </w:tc>
        <w:tc>
          <w:tcPr>
            <w:tcW w:w="387" w:type="dxa"/>
            <w:tcBorders>
              <w:left w:val="nil"/>
              <w:bottom w:val="single" w:sz="4" w:space="0" w:color="auto"/>
              <w:right w:val="nil"/>
            </w:tcBorders>
          </w:tcPr>
          <w:p w:rsidR="00F63742" w:rsidRDefault="00F63742" w:rsidP="001C1569">
            <w:pPr>
              <w:pStyle w:val="Infotext"/>
            </w:pPr>
          </w:p>
        </w:tc>
        <w:tc>
          <w:tcPr>
            <w:tcW w:w="236" w:type="dxa"/>
            <w:tcBorders>
              <w:top w:val="nil"/>
              <w:left w:val="nil"/>
              <w:right w:val="nil"/>
            </w:tcBorders>
          </w:tcPr>
          <w:p w:rsidR="00F63742" w:rsidRDefault="00F63742" w:rsidP="001C1569">
            <w:pPr>
              <w:pStyle w:val="Infotext"/>
            </w:pPr>
          </w:p>
        </w:tc>
        <w:tc>
          <w:tcPr>
            <w:tcW w:w="3890" w:type="dxa"/>
            <w:tcBorders>
              <w:top w:val="nil"/>
              <w:left w:val="nil"/>
            </w:tcBorders>
          </w:tcPr>
          <w:p w:rsidR="00F63742" w:rsidRDefault="00F63742" w:rsidP="001C1569">
            <w:pPr>
              <w:pStyle w:val="Infotext"/>
            </w:pPr>
          </w:p>
        </w:tc>
      </w:tr>
    </w:tbl>
    <w:p w:rsidR="00F63742" w:rsidRDefault="00F63742" w:rsidP="00F63742"/>
    <w:p w:rsidR="006377D6" w:rsidRDefault="006377D6" w:rsidP="000417A4">
      <w:pPr>
        <w:pStyle w:val="Heading1"/>
        <w:keepNext/>
        <w:rPr>
          <w:sz w:val="24"/>
          <w:szCs w:val="24"/>
        </w:rPr>
      </w:pPr>
    </w:p>
    <w:p w:rsidR="00792370" w:rsidRDefault="00792370" w:rsidP="00792370"/>
    <w:p w:rsidR="00792370" w:rsidRPr="00792370" w:rsidRDefault="00792370" w:rsidP="00792370"/>
    <w:p w:rsidR="006377D6" w:rsidRPr="006377D6" w:rsidRDefault="006377D6" w:rsidP="000417A4">
      <w:pPr>
        <w:pStyle w:val="Heading1"/>
        <w:keepN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1"/>
        <w:gridCol w:w="3781"/>
      </w:tblGrid>
      <w:tr w:rsidR="006377D6">
        <w:trPr>
          <w:trHeight w:val="965"/>
        </w:trPr>
        <w:tc>
          <w:tcPr>
            <w:tcW w:w="3025" w:type="pct"/>
            <w:tcBorders>
              <w:right w:val="nil"/>
            </w:tcBorders>
          </w:tcPr>
          <w:p w:rsidR="00792370" w:rsidRDefault="00792370" w:rsidP="003739BF">
            <w:pPr>
              <w:pStyle w:val="Infotext"/>
              <w:rPr>
                <w:rFonts w:ascii="Arial Black" w:hAnsi="Arial Black"/>
              </w:rPr>
            </w:pPr>
          </w:p>
          <w:p w:rsidR="006377D6" w:rsidRDefault="006377D6" w:rsidP="003739BF">
            <w:pPr>
              <w:pStyle w:val="Infotext"/>
              <w:rPr>
                <w:rFonts w:ascii="Arial Black" w:hAnsi="Arial Black"/>
              </w:rPr>
            </w:pPr>
            <w:r>
              <w:rPr>
                <w:rFonts w:ascii="Arial Black" w:hAnsi="Arial Black"/>
              </w:rPr>
              <w:t>Ward Councillors notified:</w:t>
            </w:r>
          </w:p>
          <w:p w:rsidR="006377D6" w:rsidRDefault="006377D6" w:rsidP="003739BF">
            <w:pPr>
              <w:pStyle w:val="Infotext"/>
            </w:pPr>
          </w:p>
        </w:tc>
        <w:tc>
          <w:tcPr>
            <w:tcW w:w="1975" w:type="pct"/>
            <w:tcBorders>
              <w:left w:val="nil"/>
            </w:tcBorders>
          </w:tcPr>
          <w:p w:rsidR="006377D6" w:rsidRDefault="006377D6" w:rsidP="003739BF">
            <w:pPr>
              <w:pStyle w:val="Infotext"/>
            </w:pPr>
          </w:p>
          <w:p w:rsidR="006377D6" w:rsidRPr="00A406F3" w:rsidRDefault="006377D6" w:rsidP="003739BF">
            <w:pPr>
              <w:pStyle w:val="Infotext"/>
              <w:spacing w:before="120"/>
              <w:rPr>
                <w:b/>
              </w:rPr>
            </w:pPr>
            <w:r w:rsidRPr="00A406F3">
              <w:rPr>
                <w:b/>
              </w:rPr>
              <w:t>NO</w:t>
            </w:r>
            <w:r w:rsidR="00F47265">
              <w:rPr>
                <w:b/>
              </w:rPr>
              <w:t xml:space="preserve">, as it </w:t>
            </w:r>
            <w:r w:rsidR="00792370">
              <w:rPr>
                <w:b/>
              </w:rPr>
              <w:t>impacts on</w:t>
            </w:r>
            <w:r w:rsidR="00F47265">
              <w:rPr>
                <w:b/>
              </w:rPr>
              <w:t xml:space="preserve"> all Wards</w:t>
            </w:r>
            <w:r w:rsidRPr="00A406F3">
              <w:rPr>
                <w:b/>
              </w:rPr>
              <w:t xml:space="preserve"> </w:t>
            </w:r>
          </w:p>
          <w:p w:rsidR="006377D6" w:rsidRDefault="006377D6" w:rsidP="003739BF">
            <w:pPr>
              <w:pStyle w:val="Infotext"/>
              <w:rPr>
                <w:i/>
                <w:sz w:val="24"/>
                <w:szCs w:val="24"/>
              </w:rPr>
            </w:pPr>
          </w:p>
          <w:p w:rsidR="006377D6" w:rsidRPr="003D78F6" w:rsidRDefault="006377D6" w:rsidP="003739BF">
            <w:pPr>
              <w:pStyle w:val="Infotext"/>
              <w:ind w:left="173"/>
              <w:rPr>
                <w:i/>
                <w:sz w:val="24"/>
                <w:szCs w:val="24"/>
              </w:rPr>
            </w:pPr>
          </w:p>
        </w:tc>
      </w:tr>
    </w:tbl>
    <w:p w:rsidR="006377D6" w:rsidRDefault="006377D6" w:rsidP="000417A4">
      <w:pPr>
        <w:pStyle w:val="Heading1"/>
        <w:keepNext/>
        <w:rPr>
          <w:sz w:val="24"/>
          <w:szCs w:val="24"/>
        </w:rPr>
      </w:pPr>
    </w:p>
    <w:p w:rsidR="006377D6" w:rsidRDefault="006377D6" w:rsidP="006377D6"/>
    <w:p w:rsidR="006377D6" w:rsidRPr="006377D6" w:rsidRDefault="006377D6" w:rsidP="006377D6"/>
    <w:p w:rsidR="005441BD" w:rsidRDefault="005441BD" w:rsidP="000417A4">
      <w:pPr>
        <w:pStyle w:val="Heading1"/>
        <w:keepNext/>
      </w:pPr>
      <w:r>
        <w:t xml:space="preserve">Section </w:t>
      </w:r>
      <w:r w:rsidR="00FB23F5">
        <w:t>4</w:t>
      </w:r>
      <w:r>
        <w:t xml:space="preserve"> - Contact Details and Background Papers</w:t>
      </w:r>
    </w:p>
    <w:p w:rsidR="005441BD" w:rsidRDefault="005441BD" w:rsidP="000417A4">
      <w:pPr>
        <w:keepNext/>
        <w:rPr>
          <w:rFonts w:cs="Arial"/>
        </w:rPr>
      </w:pPr>
    </w:p>
    <w:p w:rsidR="005441BD" w:rsidRDefault="005441BD" w:rsidP="000417A4">
      <w:pPr>
        <w:keepNext/>
      </w:pPr>
    </w:p>
    <w:p w:rsidR="005441BD" w:rsidRDefault="005441BD">
      <w:pPr>
        <w:pStyle w:val="Infotext"/>
        <w:rPr>
          <w:rFonts w:cs="Arial"/>
          <w:sz w:val="24"/>
        </w:rPr>
      </w:pPr>
      <w:r w:rsidRPr="000064A3">
        <w:rPr>
          <w:b/>
        </w:rPr>
        <w:t>Contact:</w:t>
      </w:r>
      <w:r>
        <w:t xml:space="preserve">  </w:t>
      </w:r>
      <w:r w:rsidR="00953226">
        <w:rPr>
          <w:rFonts w:cs="Arial"/>
          <w:sz w:val="24"/>
        </w:rPr>
        <w:t>Sally Cartwright, Consultant in Public Health</w:t>
      </w:r>
    </w:p>
    <w:p w:rsidR="00A302B7" w:rsidRDefault="00A302B7" w:rsidP="00A302B7">
      <w:pPr>
        <w:autoSpaceDE w:val="0"/>
        <w:autoSpaceDN w:val="0"/>
      </w:pPr>
      <w:r>
        <w:rPr>
          <w:rFonts w:cs="Arial"/>
          <w:sz w:val="24"/>
        </w:rPr>
        <w:t xml:space="preserve">Tel: </w:t>
      </w:r>
      <w:r w:rsidRPr="00792370">
        <w:rPr>
          <w:color w:val="000000"/>
          <w:sz w:val="24"/>
          <w:szCs w:val="24"/>
          <w:lang w:eastAsia="en-GB"/>
        </w:rPr>
        <w:t>07927548184</w:t>
      </w:r>
      <w:r>
        <w:rPr>
          <w:color w:val="000000"/>
          <w:lang w:eastAsia="en-GB"/>
        </w:rPr>
        <w:tab/>
      </w:r>
      <w:r w:rsidRPr="00792370">
        <w:rPr>
          <w:color w:val="000000"/>
          <w:sz w:val="24"/>
          <w:szCs w:val="24"/>
          <w:lang w:eastAsia="en-GB"/>
        </w:rPr>
        <w:t xml:space="preserve">Email: </w:t>
      </w:r>
      <w:hyperlink r:id="rId14" w:history="1">
        <w:r w:rsidRPr="00792370">
          <w:rPr>
            <w:rStyle w:val="Hyperlink"/>
            <w:sz w:val="24"/>
            <w:szCs w:val="24"/>
            <w:lang w:eastAsia="en-GB"/>
          </w:rPr>
          <w:t>sally.cartwright@harrow.gov.uk</w:t>
        </w:r>
      </w:hyperlink>
    </w:p>
    <w:p w:rsidR="005441BD" w:rsidRDefault="005441BD">
      <w:bookmarkStart w:id="0" w:name="_GoBack"/>
      <w:bookmarkEnd w:id="0"/>
    </w:p>
    <w:p w:rsidR="005441BD" w:rsidRDefault="005441BD"/>
    <w:p w:rsidR="005441BD" w:rsidRDefault="005441BD">
      <w:pPr>
        <w:pStyle w:val="Infotext"/>
        <w:rPr>
          <w:rFonts w:cs="Arial"/>
          <w:sz w:val="24"/>
        </w:rPr>
      </w:pPr>
      <w:r w:rsidRPr="000064A3">
        <w:rPr>
          <w:b/>
        </w:rPr>
        <w:t>Background Papers:</w:t>
      </w:r>
      <w:r>
        <w:t xml:space="preserve">  </w:t>
      </w:r>
      <w:r w:rsidR="00593093">
        <w:rPr>
          <w:rFonts w:cs="Arial"/>
          <w:sz w:val="24"/>
        </w:rPr>
        <w:t>None</w:t>
      </w:r>
      <w:r w:rsidR="00792370">
        <w:rPr>
          <w:rFonts w:cs="Arial"/>
          <w:sz w:val="24"/>
        </w:rPr>
        <w:t>.</w:t>
      </w:r>
    </w:p>
    <w:p w:rsidR="00937DB5" w:rsidRDefault="00937DB5">
      <w:pPr>
        <w:pStyle w:val="Infotext"/>
      </w:pPr>
    </w:p>
    <w:sectPr w:rsidR="00937DB5" w:rsidSect="00485F8D">
      <w:pgSz w:w="11909" w:h="16834" w:code="9"/>
      <w:pgMar w:top="864" w:right="1419" w:bottom="1152" w:left="1134"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91" w:rsidRDefault="007A7491">
      <w:r>
        <w:separator/>
      </w:r>
    </w:p>
  </w:endnote>
  <w:endnote w:type="continuationSeparator" w:id="0">
    <w:p w:rsidR="007A7491" w:rsidRDefault="007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91" w:rsidRDefault="007A7491">
      <w:r>
        <w:separator/>
      </w:r>
    </w:p>
  </w:footnote>
  <w:footnote w:type="continuationSeparator" w:id="0">
    <w:p w:rsidR="007A7491" w:rsidRDefault="007A7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3F12FB"/>
    <w:multiLevelType w:val="hybridMultilevel"/>
    <w:tmpl w:val="B9DEF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2">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505891"/>
    <w:multiLevelType w:val="hybridMultilevel"/>
    <w:tmpl w:val="D6BECECA"/>
    <w:lvl w:ilvl="0" w:tplc="2152B83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nsid w:val="70B469EC"/>
    <w:multiLevelType w:val="hybridMultilevel"/>
    <w:tmpl w:val="5BD2E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9B2636"/>
    <w:multiLevelType w:val="hybridMultilevel"/>
    <w:tmpl w:val="C3A4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9B5257"/>
    <w:multiLevelType w:val="hybridMultilevel"/>
    <w:tmpl w:val="58CC0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15"/>
  </w:num>
  <w:num w:numId="4">
    <w:abstractNumId w:val="28"/>
  </w:num>
  <w:num w:numId="5">
    <w:abstractNumId w:val="11"/>
  </w:num>
  <w:num w:numId="6">
    <w:abstractNumId w:val="25"/>
  </w:num>
  <w:num w:numId="7">
    <w:abstractNumId w:val="19"/>
  </w:num>
  <w:num w:numId="8">
    <w:abstractNumId w:val="8"/>
  </w:num>
  <w:num w:numId="9">
    <w:abstractNumId w:val="37"/>
  </w:num>
  <w:num w:numId="10">
    <w:abstractNumId w:val="40"/>
  </w:num>
  <w:num w:numId="11">
    <w:abstractNumId w:val="2"/>
  </w:num>
  <w:num w:numId="12">
    <w:abstractNumId w:val="7"/>
  </w:num>
  <w:num w:numId="13">
    <w:abstractNumId w:val="20"/>
  </w:num>
  <w:num w:numId="14">
    <w:abstractNumId w:val="9"/>
  </w:num>
  <w:num w:numId="15">
    <w:abstractNumId w:val="35"/>
  </w:num>
  <w:num w:numId="16">
    <w:abstractNumId w:val="5"/>
  </w:num>
  <w:num w:numId="17">
    <w:abstractNumId w:val="24"/>
  </w:num>
  <w:num w:numId="18">
    <w:abstractNumId w:val="10"/>
  </w:num>
  <w:num w:numId="19">
    <w:abstractNumId w:val="17"/>
  </w:num>
  <w:num w:numId="20">
    <w:abstractNumId w:val="36"/>
  </w:num>
  <w:num w:numId="21">
    <w:abstractNumId w:val="33"/>
  </w:num>
  <w:num w:numId="22">
    <w:abstractNumId w:val="14"/>
  </w:num>
  <w:num w:numId="23">
    <w:abstractNumId w:val="42"/>
  </w:num>
  <w:num w:numId="24">
    <w:abstractNumId w:val="32"/>
  </w:num>
  <w:num w:numId="25">
    <w:abstractNumId w:val="16"/>
  </w:num>
  <w:num w:numId="26">
    <w:abstractNumId w:val="1"/>
  </w:num>
  <w:num w:numId="27">
    <w:abstractNumId w:val="22"/>
  </w:num>
  <w:num w:numId="28">
    <w:abstractNumId w:val="23"/>
  </w:num>
  <w:num w:numId="29">
    <w:abstractNumId w:val="38"/>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6"/>
  </w:num>
  <w:num w:numId="34">
    <w:abstractNumId w:val="4"/>
  </w:num>
  <w:num w:numId="35">
    <w:abstractNumId w:val="30"/>
  </w:num>
  <w:num w:numId="36">
    <w:abstractNumId w:val="43"/>
  </w:num>
  <w:num w:numId="37">
    <w:abstractNumId w:val="29"/>
  </w:num>
  <w:num w:numId="38">
    <w:abstractNumId w:val="3"/>
  </w:num>
  <w:num w:numId="39">
    <w:abstractNumId w:val="13"/>
  </w:num>
  <w:num w:numId="40">
    <w:abstractNumId w:val="27"/>
  </w:num>
  <w:num w:numId="41">
    <w:abstractNumId w:val="12"/>
  </w:num>
  <w:num w:numId="42">
    <w:abstractNumId w:val="39"/>
  </w:num>
  <w:num w:numId="43">
    <w:abstractNumId w:val="34"/>
  </w:num>
  <w:num w:numId="44">
    <w:abstractNumId w:val="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064A3"/>
    <w:rsid w:val="00036698"/>
    <w:rsid w:val="000417A4"/>
    <w:rsid w:val="00044EA3"/>
    <w:rsid w:val="00046328"/>
    <w:rsid w:val="0006180E"/>
    <w:rsid w:val="00075CBB"/>
    <w:rsid w:val="000948CF"/>
    <w:rsid w:val="000B74AD"/>
    <w:rsid w:val="000D594C"/>
    <w:rsid w:val="000D59D7"/>
    <w:rsid w:val="000F665E"/>
    <w:rsid w:val="001071C4"/>
    <w:rsid w:val="001120D6"/>
    <w:rsid w:val="00131D9D"/>
    <w:rsid w:val="00141F91"/>
    <w:rsid w:val="00156C33"/>
    <w:rsid w:val="00157787"/>
    <w:rsid w:val="001606E9"/>
    <w:rsid w:val="00196C90"/>
    <w:rsid w:val="001A6BFF"/>
    <w:rsid w:val="001C1569"/>
    <w:rsid w:val="001C2940"/>
    <w:rsid w:val="001E153E"/>
    <w:rsid w:val="001E282E"/>
    <w:rsid w:val="001E6E71"/>
    <w:rsid w:val="00205B6C"/>
    <w:rsid w:val="00262641"/>
    <w:rsid w:val="00264F17"/>
    <w:rsid w:val="00267B48"/>
    <w:rsid w:val="00275FE6"/>
    <w:rsid w:val="00277B96"/>
    <w:rsid w:val="00295B66"/>
    <w:rsid w:val="002B7F80"/>
    <w:rsid w:val="002C1BFE"/>
    <w:rsid w:val="002C6464"/>
    <w:rsid w:val="002D03E4"/>
    <w:rsid w:val="002D077C"/>
    <w:rsid w:val="002D35ED"/>
    <w:rsid w:val="002D45D5"/>
    <w:rsid w:val="002D616C"/>
    <w:rsid w:val="002E7B8B"/>
    <w:rsid w:val="003024DF"/>
    <w:rsid w:val="00313F3C"/>
    <w:rsid w:val="00321F76"/>
    <w:rsid w:val="00324A8E"/>
    <w:rsid w:val="003739BF"/>
    <w:rsid w:val="0037540E"/>
    <w:rsid w:val="00383882"/>
    <w:rsid w:val="0039753E"/>
    <w:rsid w:val="003A2F0B"/>
    <w:rsid w:val="003C660E"/>
    <w:rsid w:val="003D0D09"/>
    <w:rsid w:val="00431C38"/>
    <w:rsid w:val="00451479"/>
    <w:rsid w:val="00480D23"/>
    <w:rsid w:val="00482882"/>
    <w:rsid w:val="00485F8D"/>
    <w:rsid w:val="0049070E"/>
    <w:rsid w:val="004D7310"/>
    <w:rsid w:val="004E104D"/>
    <w:rsid w:val="00507725"/>
    <w:rsid w:val="005200DF"/>
    <w:rsid w:val="00527689"/>
    <w:rsid w:val="00543E55"/>
    <w:rsid w:val="005441BD"/>
    <w:rsid w:val="0056183D"/>
    <w:rsid w:val="00587227"/>
    <w:rsid w:val="00593093"/>
    <w:rsid w:val="005961BE"/>
    <w:rsid w:val="005A0494"/>
    <w:rsid w:val="005C046D"/>
    <w:rsid w:val="005C3704"/>
    <w:rsid w:val="005C49A2"/>
    <w:rsid w:val="005D374F"/>
    <w:rsid w:val="005D3881"/>
    <w:rsid w:val="005E2897"/>
    <w:rsid w:val="006003F7"/>
    <w:rsid w:val="00612A64"/>
    <w:rsid w:val="00617F63"/>
    <w:rsid w:val="006377D6"/>
    <w:rsid w:val="006440F5"/>
    <w:rsid w:val="0064559E"/>
    <w:rsid w:val="00646696"/>
    <w:rsid w:val="006543D9"/>
    <w:rsid w:val="00654D93"/>
    <w:rsid w:val="00674FF1"/>
    <w:rsid w:val="006A03DE"/>
    <w:rsid w:val="006B5F35"/>
    <w:rsid w:val="006D7C86"/>
    <w:rsid w:val="00712F6D"/>
    <w:rsid w:val="00713DA0"/>
    <w:rsid w:val="007217F4"/>
    <w:rsid w:val="00730D72"/>
    <w:rsid w:val="007444BF"/>
    <w:rsid w:val="00777253"/>
    <w:rsid w:val="00780A65"/>
    <w:rsid w:val="00782205"/>
    <w:rsid w:val="00784BFA"/>
    <w:rsid w:val="00791F32"/>
    <w:rsid w:val="00792370"/>
    <w:rsid w:val="007A72E6"/>
    <w:rsid w:val="007A7491"/>
    <w:rsid w:val="007B7E08"/>
    <w:rsid w:val="007F3587"/>
    <w:rsid w:val="00812664"/>
    <w:rsid w:val="00814955"/>
    <w:rsid w:val="0085786F"/>
    <w:rsid w:val="008951A2"/>
    <w:rsid w:val="008C00C6"/>
    <w:rsid w:val="008E2E16"/>
    <w:rsid w:val="008F1A15"/>
    <w:rsid w:val="00900324"/>
    <w:rsid w:val="00915FD6"/>
    <w:rsid w:val="00923393"/>
    <w:rsid w:val="00930C42"/>
    <w:rsid w:val="009366AD"/>
    <w:rsid w:val="00937DB5"/>
    <w:rsid w:val="009436AF"/>
    <w:rsid w:val="00953226"/>
    <w:rsid w:val="0095662C"/>
    <w:rsid w:val="00973739"/>
    <w:rsid w:val="009761ED"/>
    <w:rsid w:val="00982366"/>
    <w:rsid w:val="00992464"/>
    <w:rsid w:val="009D1916"/>
    <w:rsid w:val="009D343E"/>
    <w:rsid w:val="009F7E5A"/>
    <w:rsid w:val="00A063C8"/>
    <w:rsid w:val="00A1569A"/>
    <w:rsid w:val="00A1579E"/>
    <w:rsid w:val="00A24E62"/>
    <w:rsid w:val="00A302B7"/>
    <w:rsid w:val="00A3050F"/>
    <w:rsid w:val="00A54A7E"/>
    <w:rsid w:val="00A63868"/>
    <w:rsid w:val="00A656CF"/>
    <w:rsid w:val="00A70D80"/>
    <w:rsid w:val="00A80F10"/>
    <w:rsid w:val="00AA1879"/>
    <w:rsid w:val="00AA1D1C"/>
    <w:rsid w:val="00AA24F9"/>
    <w:rsid w:val="00AB6E5B"/>
    <w:rsid w:val="00AE0A82"/>
    <w:rsid w:val="00AF0569"/>
    <w:rsid w:val="00B25AF8"/>
    <w:rsid w:val="00B36547"/>
    <w:rsid w:val="00B46301"/>
    <w:rsid w:val="00B46528"/>
    <w:rsid w:val="00B50D94"/>
    <w:rsid w:val="00B75672"/>
    <w:rsid w:val="00B776F3"/>
    <w:rsid w:val="00B83D00"/>
    <w:rsid w:val="00B85694"/>
    <w:rsid w:val="00B85924"/>
    <w:rsid w:val="00B97261"/>
    <w:rsid w:val="00BD0B97"/>
    <w:rsid w:val="00BD0E4F"/>
    <w:rsid w:val="00BD6F2D"/>
    <w:rsid w:val="00C236B6"/>
    <w:rsid w:val="00C316E9"/>
    <w:rsid w:val="00C32DFF"/>
    <w:rsid w:val="00C37118"/>
    <w:rsid w:val="00C647A2"/>
    <w:rsid w:val="00C817CB"/>
    <w:rsid w:val="00C928FC"/>
    <w:rsid w:val="00CC1569"/>
    <w:rsid w:val="00CC306F"/>
    <w:rsid w:val="00CC32E3"/>
    <w:rsid w:val="00D107B2"/>
    <w:rsid w:val="00D16E14"/>
    <w:rsid w:val="00D26C4F"/>
    <w:rsid w:val="00D4068D"/>
    <w:rsid w:val="00D40BAB"/>
    <w:rsid w:val="00D77C17"/>
    <w:rsid w:val="00D86C2E"/>
    <w:rsid w:val="00D96CC3"/>
    <w:rsid w:val="00DA38BD"/>
    <w:rsid w:val="00DB464E"/>
    <w:rsid w:val="00DE0604"/>
    <w:rsid w:val="00DE6CC7"/>
    <w:rsid w:val="00E0775D"/>
    <w:rsid w:val="00E446E9"/>
    <w:rsid w:val="00E55314"/>
    <w:rsid w:val="00E555EB"/>
    <w:rsid w:val="00E61F07"/>
    <w:rsid w:val="00E7674B"/>
    <w:rsid w:val="00E91983"/>
    <w:rsid w:val="00E95B48"/>
    <w:rsid w:val="00EE4D8D"/>
    <w:rsid w:val="00EF7FD2"/>
    <w:rsid w:val="00F037DB"/>
    <w:rsid w:val="00F1064F"/>
    <w:rsid w:val="00F12C0A"/>
    <w:rsid w:val="00F35F01"/>
    <w:rsid w:val="00F45ADF"/>
    <w:rsid w:val="00F47265"/>
    <w:rsid w:val="00F63742"/>
    <w:rsid w:val="00FB23F5"/>
    <w:rsid w:val="00FC2AC3"/>
    <w:rsid w:val="00FD21C6"/>
    <w:rsid w:val="00FE2F05"/>
    <w:rsid w:val="00FE5D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CF"/>
    <w:rPr>
      <w:rFonts w:ascii="Arial" w:hAnsi="Arial"/>
      <w:sz w:val="22"/>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styleId="TableGrid">
    <w:name w:val="Table Grid"/>
    <w:basedOn w:val="TableNormal"/>
    <w:rsid w:val="00E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674B"/>
    <w:rPr>
      <w:color w:val="808080"/>
    </w:rPr>
  </w:style>
  <w:style w:type="paragraph" w:styleId="Caption">
    <w:name w:val="caption"/>
    <w:basedOn w:val="Normal"/>
    <w:next w:val="Normal"/>
    <w:unhideWhenUsed/>
    <w:qFormat/>
    <w:rsid w:val="001606E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CF"/>
    <w:rPr>
      <w:rFonts w:ascii="Arial" w:hAnsi="Arial"/>
      <w:sz w:val="22"/>
      <w:lang w:eastAsia="en-US"/>
    </w:rPr>
  </w:style>
  <w:style w:type="paragraph" w:styleId="Heading1">
    <w:name w:val="heading 1"/>
    <w:basedOn w:val="Heading2"/>
    <w:next w:val="Normal"/>
    <w:qFormat/>
    <w:rsid w:val="004D7310"/>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Cs w:val="22"/>
      <w:lang w:eastAsia="en-GB"/>
    </w:rPr>
  </w:style>
  <w:style w:type="paragraph" w:customStyle="1" w:styleId="CharCharCharChar0">
    <w:name w:val="Char Char Char Char"/>
    <w:basedOn w:val="Normal"/>
    <w:locked/>
    <w:rsid w:val="00930C42"/>
    <w:pPr>
      <w:spacing w:after="160" w:line="240" w:lineRule="exact"/>
    </w:pPr>
    <w:rPr>
      <w:rFonts w:ascii="Verdana" w:hAnsi="Verdana"/>
      <w:sz w:val="20"/>
      <w:lang w:val="en-US"/>
    </w:rPr>
  </w:style>
  <w:style w:type="table" w:styleId="TableGrid">
    <w:name w:val="Table Grid"/>
    <w:basedOn w:val="TableNormal"/>
    <w:rsid w:val="00E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674B"/>
    <w:rPr>
      <w:color w:val="808080"/>
    </w:rPr>
  </w:style>
  <w:style w:type="paragraph" w:styleId="Caption">
    <w:name w:val="caption"/>
    <w:basedOn w:val="Normal"/>
    <w:next w:val="Normal"/>
    <w:unhideWhenUsed/>
    <w:qFormat/>
    <w:rsid w:val="001606E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4125">
      <w:bodyDiv w:val="1"/>
      <w:marLeft w:val="0"/>
      <w:marRight w:val="0"/>
      <w:marTop w:val="0"/>
      <w:marBottom w:val="0"/>
      <w:divBdr>
        <w:top w:val="none" w:sz="0" w:space="0" w:color="auto"/>
        <w:left w:val="none" w:sz="0" w:space="0" w:color="auto"/>
        <w:bottom w:val="none" w:sz="0" w:space="0" w:color="auto"/>
        <w:right w:val="none" w:sz="0" w:space="0" w:color="auto"/>
      </w:divBdr>
    </w:div>
    <w:div w:id="461777549">
      <w:bodyDiv w:val="1"/>
      <w:marLeft w:val="0"/>
      <w:marRight w:val="0"/>
      <w:marTop w:val="0"/>
      <w:marBottom w:val="0"/>
      <w:divBdr>
        <w:top w:val="none" w:sz="0" w:space="0" w:color="auto"/>
        <w:left w:val="none" w:sz="0" w:space="0" w:color="auto"/>
        <w:bottom w:val="none" w:sz="0" w:space="0" w:color="auto"/>
        <w:right w:val="none" w:sz="0" w:space="0" w:color="auto"/>
      </w:divBdr>
    </w:div>
    <w:div w:id="496071362">
      <w:bodyDiv w:val="1"/>
      <w:marLeft w:val="0"/>
      <w:marRight w:val="0"/>
      <w:marTop w:val="0"/>
      <w:marBottom w:val="0"/>
      <w:divBdr>
        <w:top w:val="none" w:sz="0" w:space="0" w:color="auto"/>
        <w:left w:val="none" w:sz="0" w:space="0" w:color="auto"/>
        <w:bottom w:val="none" w:sz="0" w:space="0" w:color="auto"/>
        <w:right w:val="none" w:sz="0" w:space="0" w:color="auto"/>
      </w:divBdr>
    </w:div>
    <w:div w:id="1033075115">
      <w:bodyDiv w:val="1"/>
      <w:marLeft w:val="0"/>
      <w:marRight w:val="0"/>
      <w:marTop w:val="0"/>
      <w:marBottom w:val="0"/>
      <w:divBdr>
        <w:top w:val="none" w:sz="0" w:space="0" w:color="auto"/>
        <w:left w:val="none" w:sz="0" w:space="0" w:color="auto"/>
        <w:bottom w:val="none" w:sz="0" w:space="0" w:color="auto"/>
        <w:right w:val="none" w:sz="0" w:space="0" w:color="auto"/>
      </w:divBdr>
    </w:div>
    <w:div w:id="1442841874">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38043472">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lly.cartwright@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6D1B95E6FC660D438DDB73DF723C6ECA" ma:contentTypeVersion="12" ma:contentTypeDescription="A basic document." ma:contentTypeScope="" ma:versionID="7ac3c0a9af8438c38f4a6932d103b6d2">
  <xsd:schema xmlns:xsd="http://www.w3.org/2001/XMLSchema" xmlns:xs="http://www.w3.org/2001/XMLSchema" xmlns:p="http://schemas.microsoft.com/office/2006/metadata/properties" xmlns:ns2="e48e9339-ef40-4192-ab59-a15ba5582753" targetNamespace="http://schemas.microsoft.com/office/2006/metadata/properties" ma:root="true" ma:fieldsID="77d192c626d842085529ff3793e9693d"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101945b1-22a8-4001-89cc-6467ea338106}" ma:internalName="TaxCatchAll" ma:showField="CatchAllData"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1945b1-22a8-4001-89cc-6467ea338106}" ma:internalName="TaxCatchAllLabel" ma:readOnly="true" ma:showField="CatchAllDataLabel" ma:web="c8bd828c-b285-4e7b-a993-11ffe57a3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1bda97-64e7-4000-91fd-dcaad77bf85d" ContentTypeId="0x0101000226E4B75CFA47B488D2CEFE4DCFDD64" PreviousValue="true"/>
</file>

<file path=customXml/item3.xml><?xml version="1.0" encoding="utf-8"?>
<p:properties xmlns:p="http://schemas.microsoft.com/office/2006/metadata/properties" xmlns:xsi="http://www.w3.org/2001/XMLSchema-instance" xmlns:pc="http://schemas.microsoft.com/office/infopath/2007/PartnerControls">
  <documentManagement>
    <HarrowProtectiveMarking xmlns="e48e9339-ef40-4192-ab59-a15ba5582753">OFFICIAL</HarrowProtectiveMarking>
    <TaxCatchAll xmlns="e48e9339-ef40-4192-ab59-a15ba5582753"/>
    <TaxKeywordTaxHTField xmlns="e48e9339-ef40-4192-ab59-a15ba5582753">
      <Terms xmlns="http://schemas.microsoft.com/office/infopath/2007/PartnerControls"/>
    </TaxKeywordTaxHTField>
    <HarrowDescription xmlns="e48e9339-ef40-4192-ab59-a15ba558275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1385F-6091-44DE-A986-3C91152F0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25429-65C3-45FD-93AB-06225ACF24AD}">
  <ds:schemaRefs>
    <ds:schemaRef ds:uri="Microsoft.SharePoint.Taxonomy.ContentTypeSync"/>
  </ds:schemaRefs>
</ds:datastoreItem>
</file>

<file path=customXml/itemProps3.xml><?xml version="1.0" encoding="utf-8"?>
<ds:datastoreItem xmlns:ds="http://schemas.openxmlformats.org/officeDocument/2006/customXml" ds:itemID="{FEF1211A-E412-4518-8F3F-74A957F10226}">
  <ds:schemaRefs>
    <ds:schemaRef ds:uri="http://schemas.microsoft.com/office/2006/documentManagement/types"/>
    <ds:schemaRef ds:uri="http://purl.org/dc/elements/1.1/"/>
    <ds:schemaRef ds:uri="e48e9339-ef40-4192-ab59-a15ba558275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68FAFA-7E34-46E6-9238-23F29AD4E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3503</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HOSC-PH2019-20</vt:lpstr>
    </vt:vector>
  </TitlesOfParts>
  <Company>Harrow Council</Company>
  <LinksUpToDate>false</LinksUpToDate>
  <CharactersWithSpaces>22807</CharactersWithSpaces>
  <SharedDoc>false</SharedDoc>
  <HLinks>
    <vt:vector size="18" baseType="variant">
      <vt:variant>
        <vt:i4>3801169</vt:i4>
      </vt:variant>
      <vt:variant>
        <vt:i4>6</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3</vt:i4>
      </vt:variant>
      <vt:variant>
        <vt:i4>0</vt:i4>
      </vt:variant>
      <vt:variant>
        <vt:i4>5</vt:i4>
      </vt:variant>
      <vt:variant>
        <vt:lpwstr>https://harrowhub.harrow.gov.uk/downloads/file/9713/committee_report_template_-_implications_guidance</vt:lpwstr>
      </vt:variant>
      <vt:variant>
        <vt:lpwstr/>
      </vt:variant>
      <vt:variant>
        <vt:i4>3801169</vt:i4>
      </vt:variant>
      <vt:variant>
        <vt:i4>0</vt:i4>
      </vt:variant>
      <vt:variant>
        <vt:i4>0</vt:i4>
      </vt:variant>
      <vt:variant>
        <vt:i4>5</vt:i4>
      </vt:variant>
      <vt:variant>
        <vt:lpwstr>https://harrowhub.harrow.gov.uk/downloads/file/9713/committee_report_template_-_implications_guidance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HOSC-PH2019-20</dc:title>
  <dc:creator>Harrow IT Services</dc:creator>
  <cp:lastModifiedBy>Daksha Ghelani</cp:lastModifiedBy>
  <cp:revision>5</cp:revision>
  <cp:lastPrinted>2009-12-01T14:09:00Z</cp:lastPrinted>
  <dcterms:created xsi:type="dcterms:W3CDTF">2019-06-03T10:02:00Z</dcterms:created>
  <dcterms:modified xsi:type="dcterms:W3CDTF">2019-06-03T10:47:00Z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0x0101000226E4B75CFA47B488D2CEFE4DCFDD64006D1B95E6FC660D438DDB73DF723C6ECA</vt:lpwstr>
  </property>
</Properties>
</file>